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1C7F" w14:textId="77777777" w:rsidR="00CB5592" w:rsidRPr="00F165D6" w:rsidRDefault="00CB5592" w:rsidP="00CB5592">
      <w:pPr>
        <w:shd w:val="clear" w:color="auto" w:fill="FFFFFF"/>
        <w:spacing w:before="300" w:after="150" w:line="240" w:lineRule="auto"/>
        <w:outlineLvl w:val="0"/>
        <w:rPr>
          <w:rFonts w:ascii="Arial" w:eastAsia="Times New Roman" w:hAnsi="Arial" w:cs="Arial"/>
          <w:b/>
          <w:bCs/>
          <w:kern w:val="36"/>
          <w:sz w:val="53"/>
          <w:szCs w:val="53"/>
          <w14:ligatures w14:val="none"/>
        </w:rPr>
      </w:pPr>
      <w:r w:rsidRPr="00F165D6">
        <w:rPr>
          <w:rFonts w:ascii="Arial" w:eastAsia="Times New Roman" w:hAnsi="Arial" w:cs="Arial"/>
          <w:b/>
          <w:bCs/>
          <w:kern w:val="36"/>
          <w:sz w:val="53"/>
          <w:szCs w:val="53"/>
          <w14:ligatures w14:val="none"/>
        </w:rPr>
        <w:t>Common Contracting Concerns</w:t>
      </w:r>
    </w:p>
    <w:p w14:paraId="32FAF52D" w14:textId="26485AEA" w:rsidR="00CB5592" w:rsidRPr="00F165D6" w:rsidRDefault="00F165D6" w:rsidP="00CB5592">
      <w:pPr>
        <w:spacing w:before="300" w:after="300" w:line="240" w:lineRule="auto"/>
        <w:rPr>
          <w:rFonts w:ascii="Arial" w:eastAsia="Times New Roman" w:hAnsi="Arial" w:cs="Arial"/>
          <w:kern w:val="0"/>
          <w:sz w:val="23"/>
          <w:szCs w:val="23"/>
          <w14:ligatures w14:val="none"/>
        </w:rPr>
      </w:pPr>
      <w:r w:rsidRPr="00F165D6">
        <w:rPr>
          <w:rFonts w:ascii="Times New Roman" w:eastAsia="Times New Roman" w:hAnsi="Times New Roman" w:cs="Times New Roman"/>
          <w:kern w:val="0"/>
          <w14:ligatures w14:val="none"/>
        </w:rPr>
        <w:pict w14:anchorId="465DC478">
          <v:rect id="_x0000_i1025" style="width:468pt;height:3pt" o:hralign="center" o:hrstd="t" o:hrnoshade="t" o:hr="t" fillcolor="#fd5000 [3205]" stroked="f"/>
        </w:pict>
      </w:r>
    </w:p>
    <w:p w14:paraId="609C8C4C" w14:textId="1AC06923" w:rsidR="00CB5592" w:rsidRPr="00F165D6" w:rsidRDefault="00CB5592" w:rsidP="00CB5592">
      <w:pPr>
        <w:shd w:val="clear" w:color="auto" w:fill="FFFFFF"/>
        <w:spacing w:after="150" w:line="240" w:lineRule="auto"/>
        <w:rPr>
          <w:rFonts w:ascii="Arial" w:eastAsia="Times New Roman" w:hAnsi="Arial" w:cs="Arial"/>
          <w:kern w:val="0"/>
          <w14:ligatures w14:val="none"/>
        </w:rPr>
      </w:pPr>
      <w:r w:rsidRPr="00F165D6">
        <w:rPr>
          <w:rFonts w:ascii="Arial" w:eastAsia="Times New Roman" w:hAnsi="Arial" w:cs="Arial"/>
          <w:kern w:val="0"/>
          <w14:ligatures w14:val="none"/>
        </w:rPr>
        <w:t xml:space="preserve">Contracts, agreements, MOUs, facility use permits, material transfer agreements, data use agreements, etc. (collectively referred to as contracts) may not be signed at the department or college level, except for those which have been specifically </w:t>
      </w:r>
      <w:r w:rsidR="000F7924" w:rsidRPr="00F165D6">
        <w:rPr>
          <w:rFonts w:ascii="Arial" w:eastAsia="Times New Roman" w:hAnsi="Arial" w:cs="Arial"/>
          <w:kern w:val="0"/>
          <w14:ligatures w14:val="none"/>
        </w:rPr>
        <w:t>delegated by policy or in</w:t>
      </w:r>
      <w:r w:rsidRPr="00F165D6">
        <w:rPr>
          <w:rFonts w:ascii="Arial" w:eastAsia="Times New Roman" w:hAnsi="Arial" w:cs="Arial"/>
          <w:kern w:val="0"/>
          <w14:ligatures w14:val="none"/>
        </w:rPr>
        <w:t xml:space="preserve"> writing by the President.</w:t>
      </w:r>
    </w:p>
    <w:p w14:paraId="70BF2E5A" w14:textId="5C245B16" w:rsidR="00CB5592" w:rsidRPr="00F165D6" w:rsidRDefault="00F165D6" w:rsidP="00CB5592">
      <w:pPr>
        <w:spacing w:before="300" w:after="300" w:line="240" w:lineRule="auto"/>
        <w:rPr>
          <w:rFonts w:ascii="Arial" w:eastAsia="Times New Roman" w:hAnsi="Arial" w:cs="Arial"/>
          <w:kern w:val="0"/>
          <w:sz w:val="23"/>
          <w:szCs w:val="23"/>
          <w14:ligatures w14:val="none"/>
        </w:rPr>
      </w:pPr>
      <w:r w:rsidRPr="00F165D6">
        <w:rPr>
          <w:rFonts w:ascii="Times New Roman" w:eastAsia="Times New Roman" w:hAnsi="Times New Roman" w:cs="Times New Roman"/>
          <w:kern w:val="0"/>
          <w14:ligatures w14:val="none"/>
        </w:rPr>
        <w:pict w14:anchorId="1646FDE6">
          <v:rect id="_x0000_i1026" style="width:468pt;height:3pt" o:hralign="center" o:hrstd="t" o:hrnoshade="t" o:hr="t" fillcolor="#fd5000 [3205]" stroked="f"/>
        </w:pict>
      </w:r>
    </w:p>
    <w:p w14:paraId="71621E5D" w14:textId="1BFF5DBD" w:rsidR="00CB5592" w:rsidRPr="00F165D6" w:rsidRDefault="00CB5592" w:rsidP="00CB5592">
      <w:pPr>
        <w:shd w:val="clear" w:color="auto" w:fill="FFFFFF"/>
        <w:spacing w:before="300" w:after="75" w:line="240" w:lineRule="auto"/>
        <w:outlineLvl w:val="3"/>
        <w:rPr>
          <w:rFonts w:ascii="Arial" w:eastAsia="Times New Roman" w:hAnsi="Arial" w:cs="Arial"/>
          <w:b/>
          <w:bCs/>
          <w:kern w:val="0"/>
          <w14:ligatures w14:val="none"/>
        </w:rPr>
      </w:pPr>
      <w:r w:rsidRPr="00F165D6">
        <w:rPr>
          <w:rFonts w:ascii="Arial" w:eastAsia="Times New Roman" w:hAnsi="Arial" w:cs="Arial"/>
          <w:b/>
          <w:bCs/>
          <w:kern w:val="0"/>
          <w14:ligatures w14:val="none"/>
        </w:rPr>
        <w:t xml:space="preserve">No person shall sign any contract </w:t>
      </w:r>
      <w:r w:rsidR="003330E8" w:rsidRPr="00F165D6">
        <w:rPr>
          <w:rFonts w:ascii="Arial" w:eastAsia="Times New Roman" w:hAnsi="Arial" w:cs="Arial"/>
          <w:b/>
          <w:bCs/>
          <w:kern w:val="0"/>
          <w14:ligatures w14:val="none"/>
        </w:rPr>
        <w:t>or other legal document for or on behalf of the university</w:t>
      </w:r>
      <w:r w:rsidR="003330E8" w:rsidRPr="00F165D6" w:rsidDel="003330E8">
        <w:rPr>
          <w:rFonts w:ascii="Arial" w:eastAsia="Times New Roman" w:hAnsi="Arial" w:cs="Arial"/>
          <w:b/>
          <w:bCs/>
          <w:kern w:val="0"/>
          <w14:ligatures w14:val="none"/>
        </w:rPr>
        <w:t xml:space="preserve"> </w:t>
      </w:r>
      <w:r w:rsidRPr="00F165D6">
        <w:rPr>
          <w:rFonts w:ascii="Arial" w:eastAsia="Times New Roman" w:hAnsi="Arial" w:cs="Arial"/>
          <w:b/>
          <w:bCs/>
          <w:kern w:val="0"/>
          <w14:ligatures w14:val="none"/>
        </w:rPr>
        <w:t xml:space="preserve">unless such individual has been </w:t>
      </w:r>
      <w:r w:rsidR="003330E8" w:rsidRPr="00F165D6">
        <w:rPr>
          <w:rFonts w:ascii="Arial" w:eastAsia="Times New Roman" w:hAnsi="Arial" w:cs="Arial"/>
          <w:b/>
          <w:bCs/>
          <w:kern w:val="0"/>
          <w14:ligatures w14:val="none"/>
        </w:rPr>
        <w:t xml:space="preserve">delegated authority per </w:t>
      </w:r>
      <w:r w:rsidR="009B3831" w:rsidRPr="00F165D6">
        <w:rPr>
          <w:rFonts w:ascii="Arial" w:eastAsia="Times New Roman" w:hAnsi="Arial" w:cs="Arial"/>
          <w:b/>
          <w:bCs/>
          <w:kern w:val="0"/>
          <w14:ligatures w14:val="none"/>
        </w:rPr>
        <w:t>Policy 3341-1-7 (Delegation of Contract and Signatory Authority).</w:t>
      </w:r>
      <w:r w:rsidR="00966D3B" w:rsidRPr="00F165D6">
        <w:rPr>
          <w:rFonts w:ascii="Arial" w:eastAsia="Times New Roman" w:hAnsi="Arial" w:cs="Arial"/>
          <w:b/>
          <w:bCs/>
          <w:kern w:val="0"/>
          <w14:ligatures w14:val="none"/>
        </w:rPr>
        <w:t xml:space="preserve"> </w:t>
      </w:r>
      <w:r w:rsidR="003330E8" w:rsidRPr="00F165D6">
        <w:rPr>
          <w:rFonts w:ascii="Arial" w:eastAsia="Times New Roman" w:hAnsi="Arial" w:cs="Arial"/>
          <w:b/>
          <w:bCs/>
          <w:kern w:val="0"/>
          <w14:ligatures w14:val="none"/>
        </w:rPr>
        <w:t xml:space="preserve">No sub-delegations of authority other than those listed in </w:t>
      </w:r>
      <w:r w:rsidR="000F7924" w:rsidRPr="00F165D6">
        <w:rPr>
          <w:rFonts w:ascii="Arial" w:eastAsia="Times New Roman" w:hAnsi="Arial" w:cs="Arial"/>
          <w:b/>
          <w:bCs/>
          <w:kern w:val="0"/>
          <w14:ligatures w14:val="none"/>
        </w:rPr>
        <w:t>Policy 3341-1-</w:t>
      </w:r>
      <w:proofErr w:type="gramStart"/>
      <w:r w:rsidR="000F7924" w:rsidRPr="00F165D6">
        <w:rPr>
          <w:rFonts w:ascii="Arial" w:eastAsia="Times New Roman" w:hAnsi="Arial" w:cs="Arial"/>
          <w:b/>
          <w:bCs/>
          <w:kern w:val="0"/>
          <w14:ligatures w14:val="none"/>
        </w:rPr>
        <w:t xml:space="preserve">7 </w:t>
      </w:r>
      <w:r w:rsidR="003330E8" w:rsidRPr="00F165D6">
        <w:rPr>
          <w:rFonts w:ascii="Arial" w:eastAsia="Times New Roman" w:hAnsi="Arial" w:cs="Arial"/>
          <w:b/>
          <w:bCs/>
          <w:kern w:val="0"/>
          <w14:ligatures w14:val="none"/>
        </w:rPr>
        <w:t xml:space="preserve"> may</w:t>
      </w:r>
      <w:proofErr w:type="gramEnd"/>
      <w:r w:rsidR="003330E8" w:rsidRPr="00F165D6">
        <w:rPr>
          <w:rFonts w:ascii="Arial" w:eastAsia="Times New Roman" w:hAnsi="Arial" w:cs="Arial"/>
          <w:b/>
          <w:bCs/>
          <w:kern w:val="0"/>
          <w14:ligatures w14:val="none"/>
        </w:rPr>
        <w:t xml:space="preserve"> be made without written approval of the President.</w:t>
      </w:r>
    </w:p>
    <w:p w14:paraId="5C33D6BC" w14:textId="382537C0" w:rsidR="00CB5592" w:rsidRPr="00F165D6" w:rsidRDefault="00F165D6" w:rsidP="00CB5592">
      <w:pPr>
        <w:spacing w:before="300" w:after="300" w:line="240" w:lineRule="auto"/>
        <w:rPr>
          <w:rFonts w:ascii="Arial" w:eastAsia="Times New Roman" w:hAnsi="Arial" w:cs="Arial"/>
          <w:kern w:val="0"/>
          <w14:ligatures w14:val="none"/>
        </w:rPr>
      </w:pPr>
      <w:r w:rsidRPr="00F165D6">
        <w:rPr>
          <w:rFonts w:ascii="Arial" w:eastAsia="Times New Roman" w:hAnsi="Arial" w:cs="Arial"/>
          <w:kern w:val="0"/>
          <w14:ligatures w14:val="none"/>
        </w:rPr>
        <w:pict w14:anchorId="3C870CEA">
          <v:rect id="_x0000_i1027" style="width:468pt;height:3pt" o:hralign="center" o:hrstd="t" o:hrnoshade="t" o:hr="t" fillcolor="#fd5000 [3205]" stroked="f"/>
        </w:pict>
      </w:r>
    </w:p>
    <w:p w14:paraId="4BC1DB5D" w14:textId="77777777" w:rsidR="00CB5592" w:rsidRPr="009B3831" w:rsidRDefault="00CB5592" w:rsidP="00CB5592">
      <w:pPr>
        <w:shd w:val="clear" w:color="auto" w:fill="FFFFFF"/>
        <w:spacing w:after="150" w:line="240" w:lineRule="auto"/>
        <w:rPr>
          <w:rFonts w:ascii="Arial" w:eastAsia="Times New Roman" w:hAnsi="Arial" w:cs="Arial"/>
          <w:color w:val="001344"/>
          <w:kern w:val="0"/>
          <w14:ligatures w14:val="none"/>
        </w:rPr>
      </w:pPr>
      <w:r w:rsidRPr="00F165D6">
        <w:rPr>
          <w:rFonts w:ascii="Arial" w:eastAsia="Times New Roman" w:hAnsi="Arial" w:cs="Arial"/>
          <w:kern w:val="0"/>
          <w14:ligatures w14:val="none"/>
        </w:rPr>
        <w:t>Contracts should be routed as fo</w:t>
      </w:r>
      <w:r w:rsidRPr="009B3831">
        <w:rPr>
          <w:rFonts w:ascii="Arial" w:eastAsia="Times New Roman" w:hAnsi="Arial" w:cs="Arial"/>
          <w:color w:val="001344"/>
          <w:kern w:val="0"/>
          <w14:ligatures w14:val="none"/>
        </w:rPr>
        <w:t>llows for review and signature:</w:t>
      </w:r>
    </w:p>
    <w:p w14:paraId="67095C4B" w14:textId="1B2F16D0" w:rsidR="00CB5592" w:rsidRPr="00F165D6" w:rsidRDefault="00CB5592" w:rsidP="00AE7086">
      <w:pPr>
        <w:shd w:val="clear" w:color="auto" w:fill="FFFFFF"/>
        <w:spacing w:after="150" w:line="240" w:lineRule="auto"/>
        <w:rPr>
          <w:rFonts w:ascii="Arial" w:eastAsia="Times New Roman" w:hAnsi="Arial" w:cs="Arial"/>
          <w:kern w:val="0"/>
          <w14:ligatures w14:val="none"/>
        </w:rPr>
      </w:pPr>
      <w:r w:rsidRPr="00F165D6">
        <w:rPr>
          <w:rFonts w:ascii="Arial" w:eastAsia="Times New Roman" w:hAnsi="Arial" w:cs="Arial"/>
          <w:kern w:val="0"/>
          <w14:ligatures w14:val="none"/>
        </w:rPr>
        <w:t xml:space="preserve">A. </w:t>
      </w:r>
      <w:r w:rsidR="00AE7086" w:rsidRPr="00F165D6">
        <w:rPr>
          <w:rFonts w:ascii="Arial" w:eastAsia="Times New Roman" w:hAnsi="Arial" w:cs="Arial"/>
          <w:kern w:val="0"/>
          <w14:ligatures w14:val="none"/>
        </w:rPr>
        <w:t xml:space="preserve">Contracts related to sponsored projects for </w:t>
      </w:r>
      <w:bookmarkStart w:id="0" w:name="_Hlk202882877"/>
      <w:r w:rsidR="00AE7086" w:rsidRPr="00F165D6">
        <w:rPr>
          <w:rFonts w:ascii="Arial" w:eastAsia="Times New Roman" w:hAnsi="Arial" w:cs="Arial"/>
          <w:kern w:val="0"/>
          <w14:ligatures w14:val="none"/>
        </w:rPr>
        <w:t>research, service, testing, instruction, scholarly activity or creative activities</w:t>
      </w:r>
      <w:bookmarkEnd w:id="0"/>
      <w:r w:rsidR="00AE7086" w:rsidRPr="00F165D6">
        <w:rPr>
          <w:rFonts w:ascii="Arial" w:eastAsia="Times New Roman" w:hAnsi="Arial" w:cs="Arial"/>
          <w:kern w:val="0"/>
          <w14:ligatures w14:val="none"/>
        </w:rPr>
        <w:t xml:space="preserve"> executed in the name of Bowling Green State University must be initiated by completing </w:t>
      </w:r>
      <w:r w:rsidR="00AE7086" w:rsidRPr="00F165D6">
        <w:rPr>
          <w:rFonts w:ascii="Arial" w:eastAsia="Times New Roman" w:hAnsi="Arial" w:cs="Arial"/>
          <w:color w:val="1C626D" w:themeColor="accent6"/>
          <w:kern w:val="0"/>
          <w14:ligatures w14:val="none"/>
        </w:rPr>
        <w:t xml:space="preserve">the </w:t>
      </w:r>
      <w:hyperlink r:id="rId5" w:history="1">
        <w:r w:rsidR="00AE7086" w:rsidRPr="00F165D6">
          <w:rPr>
            <w:rStyle w:val="Hyperlink"/>
            <w:rFonts w:ascii="Arial" w:eastAsia="Times New Roman" w:hAnsi="Arial" w:cs="Arial"/>
            <w:b/>
            <w:bCs/>
            <w:color w:val="1C626D" w:themeColor="accent6"/>
            <w:kern w:val="0"/>
            <w14:ligatures w14:val="none"/>
          </w:rPr>
          <w:t>Proposal QuickStart Survey</w:t>
        </w:r>
      </w:hyperlink>
      <w:r w:rsidR="00AE7086" w:rsidRPr="00F165D6">
        <w:rPr>
          <w:rFonts w:ascii="Arial" w:eastAsia="Times New Roman" w:hAnsi="Arial" w:cs="Arial"/>
          <w:color w:val="1C626D" w:themeColor="accent6"/>
          <w:kern w:val="0"/>
          <w14:ligatures w14:val="none"/>
        </w:rPr>
        <w:t xml:space="preserve">. </w:t>
      </w:r>
      <w:r w:rsidRPr="00F165D6">
        <w:rPr>
          <w:rFonts w:ascii="Arial" w:eastAsia="Times New Roman" w:hAnsi="Arial" w:cs="Arial"/>
          <w:kern w:val="0"/>
          <w14:ligatures w14:val="none"/>
        </w:rPr>
        <w:t>These include contracts, agreements, MOU’s, data use agreements, material transfer agreements, grant awards and amendments, and other agreements commonly used for grant and research administration.</w:t>
      </w:r>
    </w:p>
    <w:p w14:paraId="6D269D75" w14:textId="3E8E0782" w:rsidR="00CB5592" w:rsidRPr="00F165D6" w:rsidRDefault="00CB5592" w:rsidP="00CB5592">
      <w:pPr>
        <w:shd w:val="clear" w:color="auto" w:fill="FFFFFF"/>
        <w:spacing w:after="150" w:line="240" w:lineRule="auto"/>
        <w:rPr>
          <w:rFonts w:ascii="Arial" w:eastAsia="Times New Roman" w:hAnsi="Arial" w:cs="Arial"/>
          <w:kern w:val="0"/>
          <w14:ligatures w14:val="none"/>
        </w:rPr>
      </w:pPr>
      <w:r w:rsidRPr="00F165D6">
        <w:rPr>
          <w:rFonts w:ascii="Arial" w:eastAsia="Times New Roman" w:hAnsi="Arial" w:cs="Arial"/>
          <w:kern w:val="0"/>
          <w14:ligatures w14:val="none"/>
        </w:rPr>
        <w:t xml:space="preserve">B. </w:t>
      </w:r>
      <w:r w:rsidR="00F42CD9" w:rsidRPr="00F165D6">
        <w:rPr>
          <w:rFonts w:ascii="Arial" w:eastAsia="Times New Roman" w:hAnsi="Arial" w:cs="Arial"/>
          <w:kern w:val="0"/>
          <w14:ligatures w14:val="none"/>
        </w:rPr>
        <w:t xml:space="preserve">All contracts for purchases of goods or services, including grant-funded purchases, must follow Policy 3341-6-38 (Purchasing, Sales, and Disposal of University Property and Asset Control) and other applicable university policies. Having signatory authority does not exempt a purchase from following university procurement policies and processes. </w:t>
      </w:r>
      <w:r w:rsidRPr="00F165D6">
        <w:rPr>
          <w:rFonts w:ascii="Arial" w:eastAsia="Times New Roman" w:hAnsi="Arial" w:cs="Arial"/>
          <w:kern w:val="0"/>
          <w14:ligatures w14:val="none"/>
        </w:rPr>
        <w:t>Contracts for the purchase of goods and services from an outside vendor</w:t>
      </w:r>
      <w:r w:rsidR="00F42CD9" w:rsidRPr="00F165D6">
        <w:rPr>
          <w:rFonts w:ascii="Arial" w:eastAsia="Times New Roman" w:hAnsi="Arial" w:cs="Arial"/>
          <w:kern w:val="0"/>
          <w14:ligatures w14:val="none"/>
        </w:rPr>
        <w:t xml:space="preserve"> </w:t>
      </w:r>
      <w:r w:rsidRPr="00F165D6">
        <w:rPr>
          <w:rFonts w:ascii="Arial" w:eastAsia="Times New Roman" w:hAnsi="Arial" w:cs="Arial"/>
          <w:kern w:val="0"/>
          <w14:ligatures w14:val="none"/>
        </w:rPr>
        <w:t>must be sent to the </w:t>
      </w:r>
      <w:hyperlink r:id="rId6" w:history="1">
        <w:r w:rsidR="00F42CD9" w:rsidRPr="00F165D6">
          <w:rPr>
            <w:rFonts w:ascii="Arial" w:eastAsia="Times New Roman" w:hAnsi="Arial" w:cs="Arial"/>
            <w:b/>
            <w:bCs/>
            <w:color w:val="1C626D" w:themeColor="accent6"/>
            <w:kern w:val="0"/>
            <w:u w:val="single"/>
            <w14:ligatures w14:val="none"/>
          </w:rPr>
          <w:t>Purchasing Department</w:t>
        </w:r>
      </w:hyperlink>
      <w:r w:rsidRPr="00F165D6">
        <w:rPr>
          <w:rFonts w:ascii="Arial" w:eastAsia="Times New Roman" w:hAnsi="Arial" w:cs="Arial"/>
          <w:kern w:val="0"/>
          <w14:ligatures w14:val="none"/>
        </w:rPr>
        <w:t>.</w:t>
      </w:r>
    </w:p>
    <w:p w14:paraId="7D738723" w14:textId="7F83666D" w:rsidR="00CB5592" w:rsidRPr="00F165D6" w:rsidRDefault="00CB5592" w:rsidP="00CB5592">
      <w:pPr>
        <w:shd w:val="clear" w:color="auto" w:fill="FFFFFF"/>
        <w:spacing w:after="150" w:line="240" w:lineRule="auto"/>
        <w:rPr>
          <w:rFonts w:ascii="Arial" w:eastAsia="Times New Roman" w:hAnsi="Arial" w:cs="Arial"/>
          <w:kern w:val="0"/>
          <w14:ligatures w14:val="none"/>
        </w:rPr>
      </w:pPr>
      <w:r w:rsidRPr="00F165D6">
        <w:rPr>
          <w:rFonts w:ascii="Arial" w:eastAsia="Times New Roman" w:hAnsi="Arial" w:cs="Arial"/>
          <w:kern w:val="0"/>
          <w14:ligatures w14:val="none"/>
        </w:rPr>
        <w:t>C. Many departments have standard repetitive contractual agreements that may lend themselves to further delegation</w:t>
      </w:r>
      <w:r w:rsidR="00631714" w:rsidRPr="00F165D6">
        <w:rPr>
          <w:rFonts w:ascii="Arial" w:eastAsia="Times New Roman" w:hAnsi="Arial" w:cs="Arial"/>
          <w:kern w:val="0"/>
          <w14:ligatures w14:val="none"/>
        </w:rPr>
        <w:t xml:space="preserve"> of signature authority</w:t>
      </w:r>
      <w:r w:rsidRPr="00F165D6">
        <w:rPr>
          <w:rFonts w:ascii="Arial" w:eastAsia="Times New Roman" w:hAnsi="Arial" w:cs="Arial"/>
          <w:kern w:val="0"/>
          <w14:ligatures w14:val="none"/>
        </w:rPr>
        <w:t>. If the contract can be reduced to a single standard form, approv</w:t>
      </w:r>
      <w:r w:rsidR="00AE7086" w:rsidRPr="00F165D6">
        <w:rPr>
          <w:rFonts w:ascii="Arial" w:eastAsia="Times New Roman" w:hAnsi="Arial" w:cs="Arial"/>
          <w:kern w:val="0"/>
          <w14:ligatures w14:val="none"/>
        </w:rPr>
        <w:t xml:space="preserve">al </w:t>
      </w:r>
      <w:r w:rsidR="00631714" w:rsidRPr="00F165D6">
        <w:rPr>
          <w:rFonts w:ascii="Arial" w:eastAsia="Times New Roman" w:hAnsi="Arial" w:cs="Arial"/>
          <w:kern w:val="0"/>
          <w14:ligatures w14:val="none"/>
        </w:rPr>
        <w:t xml:space="preserve">through the dean’s/director’s office </w:t>
      </w:r>
      <w:r w:rsidR="00AE7086" w:rsidRPr="00F165D6">
        <w:rPr>
          <w:rFonts w:ascii="Arial" w:eastAsia="Times New Roman" w:hAnsi="Arial" w:cs="Arial"/>
          <w:kern w:val="0"/>
          <w14:ligatures w14:val="none"/>
        </w:rPr>
        <w:t xml:space="preserve">will be required </w:t>
      </w:r>
      <w:r w:rsidRPr="00F165D6">
        <w:rPr>
          <w:rFonts w:ascii="Arial" w:eastAsia="Times New Roman" w:hAnsi="Arial" w:cs="Arial"/>
          <w:kern w:val="0"/>
          <w14:ligatures w14:val="none"/>
        </w:rPr>
        <w:t>by the</w:t>
      </w:r>
      <w:r w:rsidR="00F42CD9" w:rsidRPr="00F165D6">
        <w:rPr>
          <w:rFonts w:ascii="Arial" w:eastAsia="Times New Roman" w:hAnsi="Arial" w:cs="Arial"/>
          <w:b/>
          <w:bCs/>
          <w:kern w:val="0"/>
          <w14:ligatures w14:val="none"/>
        </w:rPr>
        <w:t xml:space="preserve"> </w:t>
      </w:r>
      <w:hyperlink r:id="rId7" w:history="1">
        <w:r w:rsidR="00F42CD9" w:rsidRPr="00F165D6">
          <w:rPr>
            <w:rStyle w:val="Hyperlink"/>
            <w:rFonts w:ascii="Arial" w:eastAsia="Times New Roman" w:hAnsi="Arial" w:cs="Arial"/>
            <w:b/>
            <w:bCs/>
            <w:color w:val="1C626D" w:themeColor="accent6"/>
            <w:kern w:val="0"/>
            <w14:ligatures w14:val="none"/>
          </w:rPr>
          <w:t>Office of General Counsel</w:t>
        </w:r>
      </w:hyperlink>
      <w:r w:rsidRPr="00F165D6">
        <w:rPr>
          <w:rFonts w:ascii="Arial" w:eastAsia="Times New Roman" w:hAnsi="Arial" w:cs="Arial"/>
          <w:kern w:val="0"/>
          <w14:ligatures w14:val="none"/>
        </w:rPr>
        <w:t>.</w:t>
      </w:r>
      <w:r w:rsidR="00631714" w:rsidRPr="00F165D6">
        <w:rPr>
          <w:rFonts w:ascii="Arial" w:hAnsi="Arial" w:cs="Arial"/>
          <w:shd w:val="clear" w:color="auto" w:fill="FFFFFF"/>
        </w:rPr>
        <w:t xml:space="preserve"> </w:t>
      </w:r>
      <w:r w:rsidR="00631714" w:rsidRPr="00F165D6">
        <w:rPr>
          <w:rFonts w:ascii="Arial" w:eastAsia="Times New Roman" w:hAnsi="Arial" w:cs="Arial"/>
          <w:kern w:val="0"/>
          <w14:ligatures w14:val="none"/>
        </w:rPr>
        <w:t>Such delegation would specify that no changes may be made to the standard form. If changes are made to the standard form, the contract must be submitted to the Office of General Counsel for review prior to signature.</w:t>
      </w:r>
    </w:p>
    <w:p w14:paraId="541450CF" w14:textId="47E67DF8" w:rsidR="00CB5592" w:rsidRPr="00F165D6" w:rsidRDefault="00CB5592" w:rsidP="00CB5592">
      <w:pPr>
        <w:shd w:val="clear" w:color="auto" w:fill="FFFFFF"/>
        <w:spacing w:after="150" w:line="240" w:lineRule="auto"/>
        <w:rPr>
          <w:rFonts w:ascii="Arial" w:eastAsia="Times New Roman" w:hAnsi="Arial" w:cs="Arial"/>
          <w:kern w:val="0"/>
          <w14:ligatures w14:val="none"/>
        </w:rPr>
      </w:pPr>
      <w:r w:rsidRPr="00F165D6">
        <w:rPr>
          <w:rFonts w:ascii="Arial" w:eastAsia="Times New Roman" w:hAnsi="Arial" w:cs="Arial"/>
          <w:kern w:val="0"/>
          <w14:ligatures w14:val="none"/>
        </w:rPr>
        <w:t>D. Contracts not included in either A, B or C must be sent through the dean’s/director’s office to the </w:t>
      </w:r>
      <w:hyperlink r:id="rId8" w:history="1">
        <w:r w:rsidR="003A1D00" w:rsidRPr="00F165D6">
          <w:rPr>
            <w:rStyle w:val="Hyperlink"/>
            <w:rFonts w:ascii="Arial" w:eastAsia="Times New Roman" w:hAnsi="Arial" w:cs="Arial"/>
            <w:b/>
            <w:bCs/>
            <w:color w:val="1C626D" w:themeColor="accent6"/>
            <w:kern w:val="0"/>
            <w14:ligatures w14:val="none"/>
          </w:rPr>
          <w:t>Office of General Counsel</w:t>
        </w:r>
      </w:hyperlink>
      <w:r w:rsidRPr="00F165D6">
        <w:rPr>
          <w:rFonts w:ascii="Arial" w:eastAsia="Times New Roman" w:hAnsi="Arial" w:cs="Arial"/>
          <w:color w:val="1C626D" w:themeColor="accent6"/>
          <w:kern w:val="0"/>
          <w14:ligatures w14:val="none"/>
        </w:rPr>
        <w:t xml:space="preserve">. </w:t>
      </w:r>
      <w:r w:rsidRPr="00F165D6">
        <w:rPr>
          <w:rFonts w:ascii="Arial" w:eastAsia="Times New Roman" w:hAnsi="Arial" w:cs="Arial"/>
          <w:kern w:val="0"/>
          <w14:ligatures w14:val="none"/>
        </w:rPr>
        <w:t xml:space="preserve">Such contracts should not be sent directly to any other office. </w:t>
      </w:r>
      <w:r w:rsidR="003A1D00" w:rsidRPr="00F165D6">
        <w:rPr>
          <w:rFonts w:ascii="Arial" w:eastAsia="Times New Roman" w:hAnsi="Arial" w:cs="Arial"/>
          <w:kern w:val="0"/>
          <w14:ligatures w14:val="none"/>
        </w:rPr>
        <w:t>General Counsel</w:t>
      </w:r>
      <w:r w:rsidRPr="00F165D6">
        <w:rPr>
          <w:rFonts w:ascii="Arial" w:eastAsia="Times New Roman" w:hAnsi="Arial" w:cs="Arial"/>
          <w:kern w:val="0"/>
          <w14:ligatures w14:val="none"/>
        </w:rPr>
        <w:t xml:space="preserve"> will review, edit, sign (if appropriate) and route the contract.</w:t>
      </w:r>
    </w:p>
    <w:p w14:paraId="2A6D0239" w14:textId="69C2E216" w:rsidR="00CB5592" w:rsidRPr="00F165D6" w:rsidRDefault="003A1D00" w:rsidP="00CB5592">
      <w:pPr>
        <w:shd w:val="clear" w:color="auto" w:fill="FFFFFF"/>
        <w:spacing w:after="150" w:line="240" w:lineRule="auto"/>
        <w:rPr>
          <w:rFonts w:ascii="Arial" w:eastAsia="Times New Roman" w:hAnsi="Arial" w:cs="Arial"/>
          <w:kern w:val="0"/>
          <w14:ligatures w14:val="none"/>
        </w:rPr>
      </w:pPr>
      <w:r w:rsidRPr="00F165D6">
        <w:rPr>
          <w:rFonts w:ascii="Arial" w:eastAsia="Times New Roman" w:hAnsi="Arial" w:cs="Arial"/>
          <w:kern w:val="0"/>
          <w14:ligatures w14:val="none"/>
        </w:rPr>
        <w:t xml:space="preserve">Questions concerning the scope and application of the Delegation of Contract and Signatory Authority Policy should be directed to the </w:t>
      </w:r>
      <w:hyperlink r:id="rId9" w:history="1">
        <w:r w:rsidRPr="00F165D6">
          <w:rPr>
            <w:rStyle w:val="Hyperlink"/>
            <w:rFonts w:ascii="Arial" w:eastAsia="Times New Roman" w:hAnsi="Arial" w:cs="Arial"/>
            <w:b/>
            <w:bCs/>
            <w:color w:val="1C626D" w:themeColor="accent6"/>
            <w:kern w:val="0"/>
            <w14:ligatures w14:val="none"/>
          </w:rPr>
          <w:t>Office of General Counsel</w:t>
        </w:r>
      </w:hyperlink>
      <w:r w:rsidRPr="00F165D6">
        <w:rPr>
          <w:rFonts w:ascii="Arial" w:eastAsia="Times New Roman" w:hAnsi="Arial" w:cs="Arial"/>
          <w:color w:val="1C626D" w:themeColor="accent6"/>
          <w:kern w:val="0"/>
          <w14:ligatures w14:val="none"/>
        </w:rPr>
        <w:t xml:space="preserve">. </w:t>
      </w:r>
      <w:r w:rsidRPr="00F165D6">
        <w:rPr>
          <w:rFonts w:ascii="Arial" w:eastAsia="Times New Roman" w:hAnsi="Arial" w:cs="Arial"/>
          <w:kern w:val="0"/>
          <w14:ligatures w14:val="none"/>
        </w:rPr>
        <w:t>Specific operational questions may be directed to the employee’s immediate supervisor.</w:t>
      </w:r>
    </w:p>
    <w:p w14:paraId="205DF124" w14:textId="4664DBF7" w:rsidR="00F42CD9" w:rsidRPr="00F165D6" w:rsidRDefault="00F165D6" w:rsidP="00CB5592">
      <w:pPr>
        <w:spacing w:before="300" w:after="300" w:line="240" w:lineRule="auto"/>
        <w:rPr>
          <w:rFonts w:ascii="Times New Roman" w:eastAsia="Times New Roman" w:hAnsi="Times New Roman" w:cs="Times New Roman"/>
          <w:kern w:val="0"/>
          <w14:ligatures w14:val="none"/>
        </w:rPr>
      </w:pPr>
      <w:r w:rsidRPr="00F165D6">
        <w:rPr>
          <w:rFonts w:ascii="Times New Roman" w:eastAsia="Times New Roman" w:hAnsi="Times New Roman" w:cs="Times New Roman"/>
          <w:kern w:val="0"/>
          <w14:ligatures w14:val="none"/>
        </w:rPr>
        <w:lastRenderedPageBreak/>
        <w:pict w14:anchorId="5B8A870E">
          <v:rect id="_x0000_i1028" style="width:468pt;height:3pt" o:hralign="center" o:hrstd="t" o:hrnoshade="t" o:hr="t" fillcolor="#fd5000 [3205]" stroked="f"/>
        </w:pict>
      </w:r>
    </w:p>
    <w:p w14:paraId="545BF826" w14:textId="77777777" w:rsidR="003F391F" w:rsidRPr="00F165D6" w:rsidRDefault="00F165D6" w:rsidP="00CB5592">
      <w:pPr>
        <w:spacing w:before="300" w:after="300" w:line="240" w:lineRule="auto"/>
      </w:pPr>
      <w:hyperlink r:id="rId10" w:tgtFrame="_blank" w:history="1">
        <w:r w:rsidR="003F391F" w:rsidRPr="00F165D6">
          <w:rPr>
            <w:rStyle w:val="Hyperlink"/>
            <w:rFonts w:ascii="Times New Roman" w:eastAsia="Times New Roman" w:hAnsi="Times New Roman" w:cs="Times New Roman"/>
            <w:b/>
            <w:bCs/>
            <w:color w:val="auto"/>
            <w:kern w:val="0"/>
            <w14:ligatures w14:val="none"/>
          </w:rPr>
          <w:t>Ohio Attorney General “Essential” Terms</w:t>
        </w:r>
      </w:hyperlink>
      <w:r w:rsidR="003F391F" w:rsidRPr="00F165D6">
        <w:t xml:space="preserve"> </w:t>
      </w:r>
    </w:p>
    <w:p w14:paraId="2736FA7E" w14:textId="3EE78EBF" w:rsidR="003F391F" w:rsidRPr="00F165D6" w:rsidRDefault="003F391F" w:rsidP="00CB5592">
      <w:pPr>
        <w:spacing w:before="300" w:after="300" w:line="240" w:lineRule="auto"/>
      </w:pPr>
      <w:r w:rsidRPr="00F165D6">
        <w:t>“Essential” terms are terms that are either non-negotiable or strongly preferred terms because of State law, Federal law and/or the academic mission and policy of the University.  Specifically, Sponsored Research Agreements and Patent Licenses will implicate both Ohio and Federal legal issues that require certain results. </w:t>
      </w:r>
      <w:r w:rsidRPr="00F165D6">
        <w:br/>
      </w:r>
      <w:r w:rsidRPr="00F165D6">
        <w:br/>
        <w:t>The following identifies several essential terms, explains the basis as to why the terms are essential or non-negotiable and identifies the required or preferred result.</w:t>
      </w:r>
    </w:p>
    <w:p w14:paraId="0E9BEAB5" w14:textId="54E8F98D" w:rsidR="00CB5592" w:rsidRPr="00F165D6" w:rsidRDefault="00F165D6" w:rsidP="00CB5592">
      <w:pPr>
        <w:spacing w:before="300" w:after="300" w:line="240" w:lineRule="auto"/>
        <w:rPr>
          <w:rFonts w:ascii="Arial" w:eastAsia="Times New Roman" w:hAnsi="Arial" w:cs="Arial"/>
          <w:kern w:val="0"/>
          <w:sz w:val="23"/>
          <w:szCs w:val="23"/>
          <w14:ligatures w14:val="none"/>
        </w:rPr>
      </w:pPr>
      <w:r w:rsidRPr="00F165D6">
        <w:rPr>
          <w:rFonts w:ascii="Times New Roman" w:eastAsia="Times New Roman" w:hAnsi="Times New Roman" w:cs="Times New Roman"/>
          <w:kern w:val="0"/>
          <w14:ligatures w14:val="none"/>
        </w:rPr>
        <w:pict w14:anchorId="4383E38B">
          <v:rect id="_x0000_i1029" style="width:468pt;height:3pt" o:hralign="center" o:hrstd="t" o:hrnoshade="t" o:hr="t" fillcolor="#fd5000 [3205]" stroked="f"/>
        </w:pict>
      </w:r>
    </w:p>
    <w:tbl>
      <w:tblPr>
        <w:tblW w:w="9344" w:type="dxa"/>
        <w:tblBorders>
          <w:top w:val="single" w:sz="18" w:space="0" w:color="CCCCCC"/>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47"/>
        <w:gridCol w:w="4597"/>
      </w:tblGrid>
      <w:tr w:rsidR="00F165D6" w:rsidRPr="00F165D6" w14:paraId="0FA0A7C4" w14:textId="77777777" w:rsidTr="00D23E37">
        <w:tc>
          <w:tcPr>
            <w:tcW w:w="2540" w:type="pct"/>
            <w:tcBorders>
              <w:top w:val="single" w:sz="6" w:space="0" w:color="DDDDDD"/>
            </w:tcBorders>
            <w:shd w:val="clear" w:color="auto" w:fill="FFFFFF"/>
            <w:tcMar>
              <w:top w:w="135" w:type="dxa"/>
              <w:left w:w="120" w:type="dxa"/>
              <w:bottom w:w="120" w:type="dxa"/>
              <w:right w:w="270" w:type="dxa"/>
            </w:tcMar>
            <w:vAlign w:val="center"/>
            <w:hideMark/>
          </w:tcPr>
          <w:p w14:paraId="0E87DA54" w14:textId="5B4D57F7" w:rsidR="00CB5592" w:rsidRPr="00F165D6" w:rsidRDefault="009B3831" w:rsidP="00CB5592">
            <w:pPr>
              <w:spacing w:before="270" w:after="27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A</w:t>
            </w:r>
            <w:r w:rsidRPr="00F165D6">
              <w:rPr>
                <w:rFonts w:ascii="Helvetica" w:hAnsi="Helvetica" w:cs="Helvetica"/>
                <w:b/>
                <w:bCs/>
              </w:rPr>
              <w:t>rbitration</w:t>
            </w:r>
            <w:r w:rsidR="00D23E37" w:rsidRPr="00F165D6">
              <w:rPr>
                <w:rFonts w:ascii="Helvetica" w:hAnsi="Helvetica" w:cs="Helvetica"/>
                <w:b/>
                <w:bCs/>
              </w:rPr>
              <w:t>/Liability</w:t>
            </w:r>
          </w:p>
        </w:tc>
        <w:tc>
          <w:tcPr>
            <w:tcW w:w="2460" w:type="pct"/>
            <w:tcBorders>
              <w:top w:val="single" w:sz="6" w:space="0" w:color="DDDDDD"/>
            </w:tcBorders>
            <w:shd w:val="clear" w:color="auto" w:fill="FFFFFF"/>
            <w:tcMar>
              <w:top w:w="135" w:type="dxa"/>
              <w:left w:w="120" w:type="dxa"/>
              <w:bottom w:w="120" w:type="dxa"/>
              <w:right w:w="120" w:type="dxa"/>
            </w:tcMar>
            <w:vAlign w:val="center"/>
            <w:hideMark/>
          </w:tcPr>
          <w:p w14:paraId="0CCF8151" w14:textId="625F3245" w:rsidR="00CB5592" w:rsidRPr="00F165D6" w:rsidRDefault="00D23E37" w:rsidP="00CB5592">
            <w:pPr>
              <w:spacing w:before="270" w:after="27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BGSU</w:t>
            </w:r>
            <w:r w:rsidR="004E012F" w:rsidRPr="00F165D6">
              <w:rPr>
                <w:rFonts w:ascii="Helvetica" w:eastAsia="Times New Roman" w:hAnsi="Helvetica" w:cs="Helvetica"/>
                <w:kern w:val="0"/>
                <w14:ligatures w14:val="none"/>
              </w:rPr>
              <w:t xml:space="preserve"> may not agree to binding arbitration as to monetary damages under Ohio law. </w:t>
            </w:r>
            <w:hyperlink r:id="rId11" w:tgtFrame="_blank" w:history="1">
              <w:r w:rsidR="004E012F" w:rsidRPr="00F165D6">
                <w:rPr>
                  <w:rStyle w:val="Hyperlink"/>
                  <w:rFonts w:ascii="Helvetica" w:eastAsia="Times New Roman" w:hAnsi="Helvetica" w:cs="Helvetica"/>
                  <w:b/>
                  <w:bCs/>
                  <w:color w:val="1C626D" w:themeColor="accent6"/>
                  <w:kern w:val="0"/>
                  <w14:ligatures w14:val="none"/>
                </w:rPr>
                <w:t>ORC § 9.27(B)(2</w:t>
              </w:r>
              <w:r w:rsidR="004E012F" w:rsidRPr="00F165D6">
                <w:rPr>
                  <w:rStyle w:val="Hyperlink"/>
                  <w:rFonts w:ascii="Helvetica" w:eastAsia="Times New Roman" w:hAnsi="Helvetica" w:cs="Helvetica"/>
                  <w:color w:val="1C626D" w:themeColor="accent6"/>
                  <w:kern w:val="0"/>
                  <w14:ligatures w14:val="none"/>
                </w:rPr>
                <w:t>)</w:t>
              </w:r>
            </w:hyperlink>
            <w:r w:rsidR="004E012F" w:rsidRPr="00F165D6">
              <w:rPr>
                <w:rFonts w:ascii="Helvetica" w:eastAsia="Times New Roman" w:hAnsi="Helvetica" w:cs="Helvetica"/>
                <w:color w:val="1C626D" w:themeColor="accent6"/>
                <w:kern w:val="0"/>
                <w14:ligatures w14:val="none"/>
              </w:rPr>
              <w:t xml:space="preserve">.  </w:t>
            </w:r>
            <w:r w:rsidR="004E012F" w:rsidRPr="00F165D6">
              <w:rPr>
                <w:rFonts w:ascii="Helvetica" w:eastAsia="Times New Roman" w:hAnsi="Helvetica" w:cs="Helvetica"/>
                <w:kern w:val="0"/>
                <w14:ligatures w14:val="none"/>
              </w:rPr>
              <w:t xml:space="preserve">Under the Eleventh Amendment, States and State entities generally have sovereign immunity from lawsuit unless that immunity is waived by the state or the state consents to be sued.  Ohio has waived its immunity and consented to suit only if the action is brought in the Ohio Court of Claims.  </w:t>
            </w:r>
            <w:r w:rsidR="004E012F" w:rsidRPr="00F165D6">
              <w:rPr>
                <w:rFonts w:ascii="Helvetica" w:eastAsia="Times New Roman" w:hAnsi="Helvetica" w:cs="Helvetica"/>
                <w:color w:val="1C626D" w:themeColor="accent6"/>
                <w:kern w:val="0"/>
                <w14:ligatures w14:val="none"/>
              </w:rPr>
              <w:t>See </w:t>
            </w:r>
            <w:hyperlink r:id="rId12" w:tgtFrame="_blank" w:history="1">
              <w:r w:rsidR="004E012F" w:rsidRPr="00F165D6">
                <w:rPr>
                  <w:rStyle w:val="Hyperlink"/>
                  <w:rFonts w:ascii="Helvetica" w:eastAsia="Times New Roman" w:hAnsi="Helvetica" w:cs="Helvetica"/>
                  <w:color w:val="1C626D" w:themeColor="accent6"/>
                  <w:kern w:val="0"/>
                  <w14:ligatures w14:val="none"/>
                </w:rPr>
                <w:t>ORC § 2743.02(A</w:t>
              </w:r>
              <w:proofErr w:type="gramStart"/>
              <w:r w:rsidR="004E012F" w:rsidRPr="00F165D6">
                <w:rPr>
                  <w:rStyle w:val="Hyperlink"/>
                  <w:rFonts w:ascii="Helvetica" w:eastAsia="Times New Roman" w:hAnsi="Helvetica" w:cs="Helvetica"/>
                  <w:color w:val="1C626D" w:themeColor="accent6"/>
                  <w:kern w:val="0"/>
                  <w14:ligatures w14:val="none"/>
                </w:rPr>
                <w:t>)(</w:t>
              </w:r>
              <w:proofErr w:type="gramEnd"/>
              <w:r w:rsidR="004E012F" w:rsidRPr="00F165D6">
                <w:rPr>
                  <w:rStyle w:val="Hyperlink"/>
                  <w:rFonts w:ascii="Helvetica" w:eastAsia="Times New Roman" w:hAnsi="Helvetica" w:cs="Helvetica"/>
                  <w:color w:val="1C626D" w:themeColor="accent6"/>
                  <w:kern w:val="0"/>
                  <w14:ligatures w14:val="none"/>
                </w:rPr>
                <w:t>1</w:t>
              </w:r>
            </w:hyperlink>
            <w:r w:rsidR="004E012F" w:rsidRPr="00F165D6">
              <w:rPr>
                <w:rFonts w:ascii="Helvetica" w:eastAsia="Times New Roman" w:hAnsi="Helvetica" w:cs="Helvetica"/>
                <w:color w:val="1C626D" w:themeColor="accent6"/>
                <w:kern w:val="0"/>
                <w14:ligatures w14:val="none"/>
              </w:rPr>
              <w:t>)</w:t>
            </w:r>
            <w:r w:rsidR="004E012F" w:rsidRPr="00F165D6">
              <w:rPr>
                <w:rFonts w:ascii="Helvetica" w:eastAsia="Times New Roman" w:hAnsi="Helvetica" w:cs="Helvetica"/>
                <w:kern w:val="0"/>
                <w14:ligatures w14:val="none"/>
              </w:rPr>
              <w:t>.  In particular, the consent granted by Ohio is “to be sued,</w:t>
            </w:r>
            <w:r w:rsidR="004E012F" w:rsidRPr="00F165D6">
              <w:rPr>
                <w:rFonts w:ascii="Helvetica" w:eastAsia="Times New Roman" w:hAnsi="Helvetica" w:cs="Helvetica"/>
                <w:b/>
                <w:bCs/>
                <w:i/>
                <w:iCs/>
                <w:kern w:val="0"/>
                <w14:ligatures w14:val="none"/>
              </w:rPr>
              <w:t> and have its liability determined</w:t>
            </w:r>
            <w:r w:rsidR="004E012F" w:rsidRPr="00F165D6">
              <w:rPr>
                <w:rFonts w:ascii="Helvetica" w:eastAsia="Times New Roman" w:hAnsi="Helvetica" w:cs="Helvetica"/>
                <w:kern w:val="0"/>
                <w14:ligatures w14:val="none"/>
              </w:rPr>
              <w:t>.”  Thus, Ohio has consented to have its liability determined only in the Ohio Court of Claims.  A binding arbitration determines liability outside the Ohio Court of Claims</w:t>
            </w:r>
            <w:r w:rsidRPr="00F165D6">
              <w:rPr>
                <w:rFonts w:ascii="Helvetica" w:eastAsia="Times New Roman" w:hAnsi="Helvetica" w:cs="Helvetica"/>
                <w:kern w:val="0"/>
                <w14:ligatures w14:val="none"/>
              </w:rPr>
              <w:t xml:space="preserve"> </w:t>
            </w:r>
            <w:r w:rsidR="004E012F" w:rsidRPr="00F165D6">
              <w:rPr>
                <w:rFonts w:ascii="Helvetica" w:eastAsia="Times New Roman" w:hAnsi="Helvetica" w:cs="Helvetica"/>
                <w:kern w:val="0"/>
                <w14:ligatures w14:val="none"/>
              </w:rPr>
              <w:t>and is thus inconsistent with Ohio law. </w:t>
            </w:r>
          </w:p>
        </w:tc>
      </w:tr>
      <w:tr w:rsidR="00F165D6" w:rsidRPr="00F165D6" w14:paraId="35F77644" w14:textId="77777777" w:rsidTr="00D23E37">
        <w:tc>
          <w:tcPr>
            <w:tcW w:w="2540" w:type="pct"/>
            <w:tcBorders>
              <w:top w:val="single" w:sz="6" w:space="0" w:color="DDDDDD"/>
            </w:tcBorders>
            <w:shd w:val="clear" w:color="auto" w:fill="F0F0F0"/>
            <w:tcMar>
              <w:top w:w="135" w:type="dxa"/>
              <w:left w:w="120" w:type="dxa"/>
              <w:bottom w:w="120" w:type="dxa"/>
              <w:right w:w="270" w:type="dxa"/>
            </w:tcMar>
            <w:vAlign w:val="center"/>
            <w:hideMark/>
          </w:tcPr>
          <w:p w14:paraId="2150CB8B" w14:textId="04A590B0" w:rsidR="00CB5592" w:rsidRPr="00F165D6" w:rsidRDefault="009B3831" w:rsidP="00CB5592">
            <w:pPr>
              <w:spacing w:before="270" w:after="27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C</w:t>
            </w:r>
            <w:r w:rsidRPr="00F165D6">
              <w:rPr>
                <w:rFonts w:ascii="Helvetica" w:hAnsi="Helvetica" w:cs="Helvetica"/>
                <w:b/>
                <w:bCs/>
              </w:rPr>
              <w:t>hoice of</w:t>
            </w:r>
            <w:r w:rsidRPr="00F165D6">
              <w:rPr>
                <w:rFonts w:ascii="Helvetica" w:eastAsia="Times New Roman" w:hAnsi="Helvetica" w:cs="Helvetica"/>
                <w:b/>
                <w:bCs/>
                <w:kern w:val="0"/>
                <w:u w:val="single"/>
                <w14:ligatures w14:val="none"/>
              </w:rPr>
              <w:t xml:space="preserve"> </w:t>
            </w:r>
            <w:r w:rsidR="00CB5592" w:rsidRPr="00F165D6">
              <w:rPr>
                <w:rFonts w:ascii="Helvetica" w:eastAsia="Times New Roman" w:hAnsi="Helvetica" w:cs="Helvetica"/>
                <w:b/>
                <w:bCs/>
                <w:kern w:val="0"/>
                <w:u w:val="single"/>
                <w14:ligatures w14:val="none"/>
              </w:rPr>
              <w:t>Law</w:t>
            </w:r>
          </w:p>
        </w:tc>
        <w:tc>
          <w:tcPr>
            <w:tcW w:w="2460" w:type="pct"/>
            <w:tcBorders>
              <w:top w:val="single" w:sz="6" w:space="0" w:color="DDDDDD"/>
            </w:tcBorders>
            <w:shd w:val="clear" w:color="auto" w:fill="F0F0F0"/>
            <w:tcMar>
              <w:top w:w="135" w:type="dxa"/>
              <w:left w:w="120" w:type="dxa"/>
              <w:bottom w:w="120" w:type="dxa"/>
              <w:right w:w="120" w:type="dxa"/>
            </w:tcMar>
            <w:vAlign w:val="center"/>
            <w:hideMark/>
          </w:tcPr>
          <w:p w14:paraId="339D55F5" w14:textId="3658701E" w:rsidR="00CB5592" w:rsidRPr="00F165D6" w:rsidRDefault="009B3831" w:rsidP="00CB5592">
            <w:pPr>
              <w:spacing w:before="270" w:after="27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Ohio law should govern agreements with State universities.  First, a State university is an institution operated pursuant to authority conferred by the state of Ohio.  Second, any lawsuit against a State university seeking monetary damages for breach of the agreement must be brought in the Ohio Court of Claims.  </w:t>
            </w:r>
            <w:hyperlink r:id="rId13" w:tgtFrame="_blank" w:history="1">
              <w:r w:rsidRPr="00F165D6">
                <w:rPr>
                  <w:rStyle w:val="Hyperlink"/>
                  <w:rFonts w:ascii="Helvetica" w:eastAsia="Times New Roman" w:hAnsi="Helvetica" w:cs="Helvetica"/>
                  <w:color w:val="1C626D" w:themeColor="accent6"/>
                  <w:kern w:val="0"/>
                  <w14:ligatures w14:val="none"/>
                </w:rPr>
                <w:t>ORC § 2743.03</w:t>
              </w:r>
            </w:hyperlink>
            <w:r w:rsidRPr="00F165D6">
              <w:rPr>
                <w:rFonts w:ascii="Helvetica" w:eastAsia="Times New Roman" w:hAnsi="Helvetica" w:cs="Helvetica"/>
                <w:kern w:val="0"/>
                <w14:ligatures w14:val="none"/>
              </w:rPr>
              <w:t xml:space="preserve">.  It is strongly preferred and recommended </w:t>
            </w:r>
            <w:r w:rsidRPr="00F165D6">
              <w:rPr>
                <w:rFonts w:ascii="Helvetica" w:eastAsia="Times New Roman" w:hAnsi="Helvetica" w:cs="Helvetica"/>
                <w:kern w:val="0"/>
                <w14:ligatures w14:val="none"/>
              </w:rPr>
              <w:lastRenderedPageBreak/>
              <w:t>that the Ohio Court of Claims apply Ohio law.</w:t>
            </w:r>
          </w:p>
        </w:tc>
      </w:tr>
      <w:tr w:rsidR="00F165D6" w:rsidRPr="00F165D6" w14:paraId="64C7B32F" w14:textId="77777777" w:rsidTr="00D23E37">
        <w:tc>
          <w:tcPr>
            <w:tcW w:w="2540" w:type="pct"/>
            <w:tcBorders>
              <w:top w:val="single" w:sz="6" w:space="0" w:color="DDDDDD"/>
            </w:tcBorders>
            <w:shd w:val="clear" w:color="auto" w:fill="F0F0F0"/>
            <w:tcMar>
              <w:top w:w="135" w:type="dxa"/>
              <w:left w:w="120" w:type="dxa"/>
              <w:bottom w:w="120" w:type="dxa"/>
              <w:right w:w="270" w:type="dxa"/>
            </w:tcMar>
            <w:vAlign w:val="center"/>
          </w:tcPr>
          <w:p w14:paraId="687C302D" w14:textId="3B1BE979" w:rsidR="00897887" w:rsidRPr="00F165D6" w:rsidDel="009B3831" w:rsidRDefault="00011F8D" w:rsidP="00CB5592">
            <w:pPr>
              <w:spacing w:before="270" w:after="270" w:line="285" w:lineRule="atLeast"/>
              <w:rPr>
                <w:rFonts w:ascii="Helvetica" w:eastAsia="Times New Roman" w:hAnsi="Helvetica" w:cs="Helvetica"/>
                <w:b/>
                <w:bCs/>
                <w:kern w:val="0"/>
                <w:u w:val="single"/>
                <w14:ligatures w14:val="none"/>
              </w:rPr>
            </w:pPr>
            <w:r w:rsidRPr="00F165D6">
              <w:rPr>
                <w:rFonts w:ascii="Helvetica" w:eastAsia="Times New Roman" w:hAnsi="Helvetica" w:cs="Helvetica"/>
                <w:b/>
                <w:bCs/>
                <w:kern w:val="0"/>
                <w:u w:val="single"/>
                <w14:ligatures w14:val="none"/>
              </w:rPr>
              <w:lastRenderedPageBreak/>
              <w:t>Confidentiality</w:t>
            </w:r>
          </w:p>
        </w:tc>
        <w:tc>
          <w:tcPr>
            <w:tcW w:w="2460" w:type="pct"/>
            <w:tcBorders>
              <w:top w:val="single" w:sz="6" w:space="0" w:color="DDDDDD"/>
            </w:tcBorders>
            <w:shd w:val="clear" w:color="auto" w:fill="F0F0F0"/>
            <w:tcMar>
              <w:top w:w="135" w:type="dxa"/>
              <w:left w:w="120" w:type="dxa"/>
              <w:bottom w:w="120" w:type="dxa"/>
              <w:right w:w="120" w:type="dxa"/>
            </w:tcMar>
            <w:vAlign w:val="center"/>
          </w:tcPr>
          <w:p w14:paraId="7F51160B" w14:textId="4C9299E3" w:rsidR="00897887" w:rsidRPr="00F165D6" w:rsidRDefault="00011F8D" w:rsidP="00CB5592">
            <w:pPr>
              <w:spacing w:before="270" w:after="27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A confidentiality provision in an agreement with a State university must account for Ohio public records law.  </w:t>
            </w:r>
            <w:r w:rsidRPr="00F165D6">
              <w:rPr>
                <w:rFonts w:ascii="Helvetica" w:eastAsia="Times New Roman" w:hAnsi="Helvetica" w:cs="Helvetica"/>
                <w:i/>
                <w:iCs/>
                <w:kern w:val="0"/>
                <w14:ligatures w14:val="none"/>
              </w:rPr>
              <w:t>See</w:t>
            </w:r>
            <w:r w:rsidRPr="00F165D6">
              <w:rPr>
                <w:rFonts w:ascii="Helvetica" w:eastAsia="Times New Roman" w:hAnsi="Helvetica" w:cs="Helvetica"/>
                <w:kern w:val="0"/>
                <w14:ligatures w14:val="none"/>
              </w:rPr>
              <w:t> </w:t>
            </w:r>
            <w:hyperlink r:id="rId14" w:tgtFrame="_blank" w:history="1">
              <w:r w:rsidRPr="00F165D6">
                <w:rPr>
                  <w:rStyle w:val="Hyperlink"/>
                  <w:rFonts w:ascii="Helvetica" w:eastAsia="Times New Roman" w:hAnsi="Helvetica" w:cs="Helvetica"/>
                  <w:color w:val="1C626D" w:themeColor="accent6"/>
                  <w:kern w:val="0"/>
                  <w14:ligatures w14:val="none"/>
                </w:rPr>
                <w:t>ORC § 9.27(B)(7)</w:t>
              </w:r>
            </w:hyperlink>
            <w:r w:rsidRPr="00F165D6">
              <w:rPr>
                <w:rFonts w:ascii="Helvetica" w:eastAsia="Times New Roman" w:hAnsi="Helvetica" w:cs="Helvetica"/>
                <w:kern w:val="0"/>
                <w14:ligatures w14:val="none"/>
              </w:rPr>
              <w:t>. State universities are subject to public records requests under Ohio law.  See </w:t>
            </w:r>
            <w:hyperlink r:id="rId15" w:tgtFrame="_blank" w:history="1">
              <w:r w:rsidRPr="00F165D6">
                <w:rPr>
                  <w:rStyle w:val="Hyperlink"/>
                  <w:rFonts w:ascii="Helvetica" w:eastAsia="Times New Roman" w:hAnsi="Helvetica" w:cs="Helvetica"/>
                  <w:color w:val="1C626D" w:themeColor="accent6"/>
                  <w:kern w:val="0"/>
                  <w14:ligatures w14:val="none"/>
                </w:rPr>
                <w:t>ORC § 149.43</w:t>
              </w:r>
            </w:hyperlink>
            <w:r w:rsidRPr="00F165D6">
              <w:rPr>
                <w:rFonts w:ascii="Helvetica" w:eastAsia="Times New Roman" w:hAnsi="Helvetica" w:cs="Helvetica"/>
                <w:kern w:val="0"/>
                <w14:ligatures w14:val="none"/>
              </w:rPr>
              <w:t xml:space="preserve">.  The duty to comply with public records request cannot be limited by Agreement.  It is important to note, however, that with respect to commercialization, a key set of documents are exempted from a public records request: “Intellectual property records”.  See id. at </w:t>
            </w:r>
            <w:r w:rsidRPr="00F165D6">
              <w:rPr>
                <w:rFonts w:ascii="Helvetica" w:eastAsia="Times New Roman" w:hAnsi="Helvetica" w:cs="Helvetica"/>
                <w:color w:val="1C626D" w:themeColor="accent6"/>
                <w:kern w:val="0"/>
                <w14:ligatures w14:val="none"/>
              </w:rPr>
              <w:t>§ </w:t>
            </w:r>
            <w:hyperlink r:id="rId16" w:tgtFrame="_blank" w:history="1">
              <w:r w:rsidRPr="00F165D6">
                <w:rPr>
                  <w:rStyle w:val="Hyperlink"/>
                  <w:rFonts w:ascii="Helvetica" w:eastAsia="Times New Roman" w:hAnsi="Helvetica" w:cs="Helvetica"/>
                  <w:color w:val="1C626D" w:themeColor="accent6"/>
                  <w:kern w:val="0"/>
                  <w14:ligatures w14:val="none"/>
                </w:rPr>
                <w:t>149.43(A)(1)(m)</w:t>
              </w:r>
            </w:hyperlink>
            <w:r w:rsidRPr="00F165D6">
              <w:rPr>
                <w:rFonts w:ascii="Helvetica" w:eastAsia="Times New Roman" w:hAnsi="Helvetica" w:cs="Helvetica"/>
                <w:kern w:val="0"/>
                <w14:ligatures w14:val="none"/>
              </w:rPr>
              <w:t>.  Intellectual property records refer generally to non-financial and non-administrative records that are not publicly disclosed and that were produced or collected by faculty or staff of a State university in the conduct of research, regardless of whether that research is sponsored by the State university or private concern.  See id. at </w:t>
            </w:r>
            <w:hyperlink r:id="rId17" w:tgtFrame="_blank" w:history="1">
              <w:r w:rsidRPr="00F165D6">
                <w:rPr>
                  <w:rStyle w:val="Hyperlink"/>
                  <w:rFonts w:ascii="Helvetica" w:eastAsia="Times New Roman" w:hAnsi="Helvetica" w:cs="Helvetica"/>
                  <w:color w:val="1C626D" w:themeColor="accent6"/>
                  <w:kern w:val="0"/>
                  <w14:ligatures w14:val="none"/>
                </w:rPr>
                <w:t>§ 149.43(A)(5)</w:t>
              </w:r>
            </w:hyperlink>
            <w:r w:rsidRPr="00F165D6">
              <w:rPr>
                <w:rFonts w:ascii="Helvetica" w:eastAsia="Times New Roman" w:hAnsi="Helvetica" w:cs="Helvetica"/>
                <w:kern w:val="0"/>
                <w14:ligatures w14:val="none"/>
              </w:rPr>
              <w:t>. </w:t>
            </w:r>
          </w:p>
        </w:tc>
      </w:tr>
      <w:tr w:rsidR="00F165D6" w:rsidRPr="00F165D6" w14:paraId="2C37CAE4" w14:textId="77777777" w:rsidTr="00D23E37">
        <w:tc>
          <w:tcPr>
            <w:tcW w:w="2540" w:type="pct"/>
            <w:tcBorders>
              <w:top w:val="single" w:sz="6" w:space="0" w:color="DDDDDD"/>
            </w:tcBorders>
            <w:shd w:val="clear" w:color="auto" w:fill="FFFFFF"/>
            <w:tcMar>
              <w:top w:w="135" w:type="dxa"/>
              <w:left w:w="120" w:type="dxa"/>
              <w:bottom w:w="120" w:type="dxa"/>
              <w:right w:w="270" w:type="dxa"/>
            </w:tcMar>
            <w:vAlign w:val="center"/>
            <w:hideMark/>
          </w:tcPr>
          <w:p w14:paraId="7180D582" w14:textId="77777777" w:rsidR="00CB5592" w:rsidRPr="00F165D6" w:rsidRDefault="00CB5592" w:rsidP="00CB5592">
            <w:pPr>
              <w:spacing w:before="270" w:after="27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Indemnification</w:t>
            </w:r>
          </w:p>
        </w:tc>
        <w:tc>
          <w:tcPr>
            <w:tcW w:w="2460" w:type="pct"/>
            <w:tcBorders>
              <w:top w:val="single" w:sz="6" w:space="0" w:color="DDDDDD"/>
            </w:tcBorders>
            <w:shd w:val="clear" w:color="auto" w:fill="FFFFFF"/>
            <w:tcMar>
              <w:top w:w="135" w:type="dxa"/>
              <w:left w:w="120" w:type="dxa"/>
              <w:bottom w:w="120" w:type="dxa"/>
              <w:right w:w="120" w:type="dxa"/>
            </w:tcMar>
            <w:vAlign w:val="center"/>
            <w:hideMark/>
          </w:tcPr>
          <w:p w14:paraId="6C91B0C8" w14:textId="121635B5" w:rsidR="00CB5592" w:rsidRPr="00F165D6" w:rsidRDefault="004E012F" w:rsidP="00CB5592">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A provision requiring the state to indemnify another person is barred by Ohio law for procurement contracts</w:t>
            </w:r>
            <w:r w:rsidRPr="00F165D6">
              <w:rPr>
                <w:rFonts w:ascii="Helvetica" w:eastAsia="Times New Roman" w:hAnsi="Helvetica" w:cs="Helvetica"/>
                <w:color w:val="1C626D" w:themeColor="accent6"/>
                <w:kern w:val="0"/>
                <w14:ligatures w14:val="none"/>
              </w:rPr>
              <w:t>. </w:t>
            </w:r>
            <w:hyperlink r:id="rId18" w:tgtFrame="_blank" w:history="1">
              <w:r w:rsidRPr="00F165D6">
                <w:rPr>
                  <w:rStyle w:val="Hyperlink"/>
                  <w:rFonts w:ascii="Helvetica" w:eastAsia="Times New Roman" w:hAnsi="Helvetica" w:cs="Helvetica"/>
                  <w:color w:val="1C626D" w:themeColor="accent6"/>
                  <w:kern w:val="0"/>
                  <w14:ligatures w14:val="none"/>
                </w:rPr>
                <w:t>ORC § 9.27(B)(1)</w:t>
              </w:r>
            </w:hyperlink>
            <w:r w:rsidRPr="00F165D6">
              <w:rPr>
                <w:rFonts w:ascii="Helvetica" w:eastAsia="Times New Roman" w:hAnsi="Helvetica" w:cs="Helvetica"/>
                <w:kern w:val="0"/>
                <w14:ligatures w14:val="none"/>
              </w:rPr>
              <w:t>.</w:t>
            </w:r>
            <w:r w:rsidRPr="00F165D6">
              <w:rPr>
                <w:rFonts w:ascii="Helvetica" w:eastAsia="Times New Roman" w:hAnsi="Helvetica" w:cs="Helvetica"/>
                <w:kern w:val="0"/>
                <w14:ligatures w14:val="none"/>
              </w:rPr>
              <w:br/>
            </w:r>
            <w:r w:rsidRPr="00F165D6">
              <w:rPr>
                <w:rFonts w:ascii="Helvetica" w:eastAsia="Times New Roman" w:hAnsi="Helvetica" w:cs="Helvetica"/>
                <w:kern w:val="0"/>
                <w14:ligatures w14:val="none"/>
              </w:rPr>
              <w:br/>
              <w:t>Further, a provision requiring indemnification by the State is also likely unconstitutional under Ohio law as thoroughly explained in </w:t>
            </w:r>
            <w:hyperlink r:id="rId19" w:tgtFrame="_blank" w:history="1">
              <w:r w:rsidRPr="00F165D6">
                <w:rPr>
                  <w:rStyle w:val="Hyperlink"/>
                  <w:rFonts w:ascii="Helvetica" w:eastAsia="Times New Roman" w:hAnsi="Helvetica" w:cs="Helvetica"/>
                  <w:color w:val="1C626D" w:themeColor="accent6"/>
                  <w:kern w:val="0"/>
                  <w14:ligatures w14:val="none"/>
                </w:rPr>
                <w:t>OAG Opinion 96-060</w:t>
              </w:r>
            </w:hyperlink>
            <w:r w:rsidRPr="00F165D6">
              <w:rPr>
                <w:rFonts w:ascii="Helvetica" w:eastAsia="Times New Roman" w:hAnsi="Helvetica" w:cs="Helvetica"/>
                <w:kern w:val="0"/>
                <w14:ligatures w14:val="none"/>
              </w:rPr>
              <w:t xml:space="preserve">.  The Ohio </w:t>
            </w:r>
            <w:r w:rsidRPr="00F165D6">
              <w:rPr>
                <w:rFonts w:ascii="Helvetica" w:eastAsia="Times New Roman" w:hAnsi="Helvetica" w:cs="Helvetica"/>
                <w:color w:val="1C626D" w:themeColor="accent6"/>
                <w:kern w:val="0"/>
                <w14:ligatures w14:val="none"/>
              </w:rPr>
              <w:t>Constitution (</w:t>
            </w:r>
            <w:hyperlink r:id="rId20" w:anchor="Section_22" w:tgtFrame="_blank" w:history="1">
              <w:r w:rsidRPr="00F165D6">
                <w:rPr>
                  <w:rStyle w:val="Hyperlink"/>
                  <w:rFonts w:ascii="Helvetica" w:eastAsia="Times New Roman" w:hAnsi="Helvetica" w:cs="Helvetica"/>
                  <w:color w:val="1C626D" w:themeColor="accent6"/>
                  <w:kern w:val="0"/>
                  <w14:ligatures w14:val="none"/>
                </w:rPr>
                <w:t>Article II, Section 22</w:t>
              </w:r>
            </w:hyperlink>
            <w:r w:rsidRPr="00F165D6">
              <w:rPr>
                <w:rFonts w:ascii="Helvetica" w:eastAsia="Times New Roman" w:hAnsi="Helvetica" w:cs="Helvetica"/>
                <w:color w:val="1C626D" w:themeColor="accent6"/>
                <w:kern w:val="0"/>
                <w14:ligatures w14:val="none"/>
              </w:rPr>
              <w:t>)</w:t>
            </w:r>
            <w:r w:rsidRPr="00F165D6">
              <w:rPr>
                <w:rFonts w:ascii="Helvetica" w:eastAsia="Times New Roman" w:hAnsi="Helvetica" w:cs="Helvetica"/>
                <w:kern w:val="0"/>
                <w14:ligatures w14:val="none"/>
              </w:rPr>
              <w:t xml:space="preserve"> and Ohio Revised Code require that any appropriation or financial obligation incurred by the State specify a maximum dollar amount and limit that obligation to the duration of the current biennium (2-year fiscal period).  Indemnification clauses typically create a contingent liability that </w:t>
            </w:r>
            <w:r w:rsidRPr="00F165D6">
              <w:rPr>
                <w:rFonts w:ascii="Helvetica" w:eastAsia="Times New Roman" w:hAnsi="Helvetica" w:cs="Helvetica"/>
                <w:kern w:val="0"/>
                <w14:ligatures w14:val="none"/>
              </w:rPr>
              <w:lastRenderedPageBreak/>
              <w:t>is uncertain as to amount and time and, as such, may occur beyond the biennium.  </w:t>
            </w:r>
          </w:p>
        </w:tc>
      </w:tr>
      <w:tr w:rsidR="00F165D6" w:rsidRPr="00F165D6" w14:paraId="0A2B7AA8" w14:textId="77777777" w:rsidTr="00D23E37">
        <w:tc>
          <w:tcPr>
            <w:tcW w:w="2540" w:type="pct"/>
            <w:tcBorders>
              <w:top w:val="single" w:sz="6" w:space="0" w:color="DDDDDD"/>
            </w:tcBorders>
            <w:shd w:val="clear" w:color="auto" w:fill="F0F0F0"/>
            <w:tcMar>
              <w:top w:w="135" w:type="dxa"/>
              <w:left w:w="120" w:type="dxa"/>
              <w:bottom w:w="120" w:type="dxa"/>
              <w:right w:w="270" w:type="dxa"/>
            </w:tcMar>
            <w:vAlign w:val="center"/>
            <w:hideMark/>
          </w:tcPr>
          <w:p w14:paraId="473F0020" w14:textId="77777777" w:rsidR="004E012F" w:rsidRPr="00F165D6" w:rsidRDefault="004E012F" w:rsidP="004E012F">
            <w:pPr>
              <w:shd w:val="clear" w:color="auto" w:fill="FFFFFF"/>
              <w:spacing w:before="100" w:beforeAutospacing="1" w:after="100" w:afterAutospacing="1" w:line="240" w:lineRule="auto"/>
              <w:rPr>
                <w:rFonts w:ascii="Helvetica" w:eastAsia="Times New Roman" w:hAnsi="Helvetica" w:cs="Helvetica"/>
                <w:b/>
                <w:bCs/>
                <w:kern w:val="0"/>
                <w14:ligatures w14:val="none"/>
              </w:rPr>
            </w:pPr>
            <w:r w:rsidRPr="00F165D6">
              <w:rPr>
                <w:rFonts w:ascii="Helvetica" w:eastAsia="Times New Roman" w:hAnsi="Helvetica" w:cs="Helvetica"/>
                <w:b/>
                <w:bCs/>
                <w:kern w:val="0"/>
                <w14:ligatures w14:val="none"/>
              </w:rPr>
              <w:lastRenderedPageBreak/>
              <w:t>Initial Ownership of IP</w:t>
            </w:r>
          </w:p>
          <w:p w14:paraId="736F4565" w14:textId="3492A40F" w:rsidR="00CB5592" w:rsidRPr="00F165D6" w:rsidRDefault="00CB5592" w:rsidP="00CB5592">
            <w:pPr>
              <w:spacing w:after="0" w:line="285" w:lineRule="atLeast"/>
              <w:rPr>
                <w:rFonts w:ascii="Helvetica" w:eastAsia="Times New Roman" w:hAnsi="Helvetica" w:cs="Helvetica"/>
                <w:kern w:val="0"/>
                <w14:ligatures w14:val="none"/>
              </w:rPr>
            </w:pPr>
          </w:p>
        </w:tc>
        <w:tc>
          <w:tcPr>
            <w:tcW w:w="2460" w:type="pct"/>
            <w:tcBorders>
              <w:top w:val="single" w:sz="6" w:space="0" w:color="DDDDDD"/>
            </w:tcBorders>
            <w:shd w:val="clear" w:color="auto" w:fill="F0F0F0"/>
            <w:tcMar>
              <w:top w:w="135" w:type="dxa"/>
              <w:left w:w="120" w:type="dxa"/>
              <w:bottom w:w="120" w:type="dxa"/>
              <w:right w:w="120" w:type="dxa"/>
            </w:tcMar>
            <w:vAlign w:val="center"/>
            <w:hideMark/>
          </w:tcPr>
          <w:p w14:paraId="658DC0D4" w14:textId="112FEE38" w:rsidR="00CB5592" w:rsidRPr="00F165D6" w:rsidRDefault="004E012F" w:rsidP="00CB5592">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Ohio law specifies that State universities in Ohio own all rights to and interests in any inventions resulting from work performed (1) at a facility of the University; (2) by a State University employee acting within the scope of their employment or (3) with funding, equipment or infrastructure provided by or through the University. See </w:t>
            </w:r>
            <w:hyperlink r:id="rId21" w:tgtFrame="_blank" w:history="1">
              <w:r w:rsidRPr="00F165D6">
                <w:rPr>
                  <w:rStyle w:val="Hyperlink"/>
                  <w:rFonts w:ascii="Helvetica" w:eastAsia="Times New Roman" w:hAnsi="Helvetica" w:cs="Helvetica"/>
                  <w:color w:val="1C626D" w:themeColor="accent6"/>
                  <w:kern w:val="0"/>
                  <w14:ligatures w14:val="none"/>
                </w:rPr>
                <w:t>ORC § 3345.14(B</w:t>
              </w:r>
            </w:hyperlink>
            <w:r w:rsidRPr="00F165D6">
              <w:rPr>
                <w:rFonts w:ascii="Helvetica" w:eastAsia="Times New Roman" w:hAnsi="Helvetica" w:cs="Helvetica"/>
                <w:color w:val="1C626D" w:themeColor="accent6"/>
                <w:kern w:val="0"/>
                <w14:ligatures w14:val="none"/>
              </w:rPr>
              <w:t>)</w:t>
            </w:r>
            <w:r w:rsidRPr="00F165D6">
              <w:rPr>
                <w:rFonts w:ascii="Helvetica" w:eastAsia="Times New Roman" w:hAnsi="Helvetica" w:cs="Helvetica"/>
                <w:kern w:val="0"/>
                <w14:ligatures w14:val="none"/>
              </w:rPr>
              <w:t>.  A State University can waive its ownership rights under this statutory provision</w:t>
            </w:r>
            <w:r w:rsidR="008D61AE" w:rsidRPr="00F165D6">
              <w:rPr>
                <w:rFonts w:ascii="Helvetica" w:eastAsia="Times New Roman" w:hAnsi="Helvetica" w:cs="Helvetica"/>
                <w:kern w:val="0"/>
                <w14:ligatures w14:val="none"/>
              </w:rPr>
              <w:t xml:space="preserve"> in certain situations</w:t>
            </w:r>
            <w:r w:rsidRPr="00F165D6">
              <w:rPr>
                <w:rFonts w:ascii="Helvetica" w:eastAsia="Times New Roman" w:hAnsi="Helvetica" w:cs="Helvetica"/>
                <w:kern w:val="0"/>
                <w14:ligatures w14:val="none"/>
              </w:rPr>
              <w:t>, but the statutory provision is the default. </w:t>
            </w:r>
          </w:p>
        </w:tc>
      </w:tr>
      <w:tr w:rsidR="00F165D6" w:rsidRPr="00F165D6" w14:paraId="2138900B" w14:textId="77777777" w:rsidTr="00D23E37">
        <w:tc>
          <w:tcPr>
            <w:tcW w:w="2540" w:type="pct"/>
            <w:tcBorders>
              <w:top w:val="single" w:sz="6" w:space="0" w:color="DDDDDD"/>
            </w:tcBorders>
            <w:shd w:val="clear" w:color="auto" w:fill="FFFFFF"/>
            <w:tcMar>
              <w:top w:w="135" w:type="dxa"/>
              <w:left w:w="120" w:type="dxa"/>
              <w:bottom w:w="120" w:type="dxa"/>
              <w:right w:w="270" w:type="dxa"/>
            </w:tcMar>
            <w:vAlign w:val="center"/>
            <w:hideMark/>
          </w:tcPr>
          <w:p w14:paraId="410D3940" w14:textId="2BCF92F6" w:rsidR="00CB5592" w:rsidRPr="00F165D6" w:rsidRDefault="00CB5592" w:rsidP="00CB5592">
            <w:pPr>
              <w:spacing w:after="150" w:line="285" w:lineRule="atLeast"/>
              <w:rPr>
                <w:rFonts w:ascii="Helvetica" w:eastAsia="Times New Roman" w:hAnsi="Helvetica" w:cs="Helvetica"/>
                <w:kern w:val="0"/>
                <w14:ligatures w14:val="none"/>
              </w:rPr>
            </w:pPr>
          </w:p>
          <w:p w14:paraId="335A2B43" w14:textId="0A2A1FE0" w:rsidR="00CB5592" w:rsidRPr="00F165D6" w:rsidRDefault="00CB5592" w:rsidP="00CB5592">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Insurance</w:t>
            </w:r>
          </w:p>
        </w:tc>
        <w:tc>
          <w:tcPr>
            <w:tcW w:w="2460" w:type="pct"/>
            <w:tcBorders>
              <w:top w:val="single" w:sz="6" w:space="0" w:color="DDDDDD"/>
            </w:tcBorders>
            <w:shd w:val="clear" w:color="auto" w:fill="FFFFFF"/>
            <w:tcMar>
              <w:top w:w="135" w:type="dxa"/>
              <w:left w:w="120" w:type="dxa"/>
              <w:bottom w:w="120" w:type="dxa"/>
              <w:right w:w="120" w:type="dxa"/>
            </w:tcMar>
            <w:vAlign w:val="center"/>
            <w:hideMark/>
          </w:tcPr>
          <w:p w14:paraId="4CDEFA63" w14:textId="5FE2925F" w:rsidR="00CB5592" w:rsidRPr="00F165D6" w:rsidRDefault="00CB5592" w:rsidP="00755A2B">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 xml:space="preserve">As a state University </w:t>
            </w:r>
            <w:r w:rsidR="00DE5EBF" w:rsidRPr="00F165D6">
              <w:rPr>
                <w:rFonts w:ascii="Helvetica" w:eastAsia="Times New Roman" w:hAnsi="Helvetica" w:cs="Helvetica"/>
                <w:kern w:val="0"/>
                <w14:ligatures w14:val="none"/>
              </w:rPr>
              <w:t>B</w:t>
            </w:r>
            <w:r w:rsidR="00DE5EBF" w:rsidRPr="00F165D6">
              <w:rPr>
                <w:rFonts w:ascii="Helvetica" w:hAnsi="Helvetica" w:cs="Helvetica"/>
              </w:rPr>
              <w:t xml:space="preserve">GSU </w:t>
            </w:r>
            <w:r w:rsidRPr="00F165D6">
              <w:rPr>
                <w:rFonts w:ascii="Helvetica" w:eastAsia="Times New Roman" w:hAnsi="Helvetica" w:cs="Helvetica"/>
                <w:kern w:val="0"/>
                <w14:ligatures w14:val="none"/>
              </w:rPr>
              <w:t xml:space="preserve">is covered under the </w:t>
            </w:r>
            <w:r w:rsidR="00DE5EBF" w:rsidRPr="00F165D6">
              <w:rPr>
                <w:rFonts w:ascii="Helvetica" w:eastAsia="Times New Roman" w:hAnsi="Helvetica" w:cs="Helvetica"/>
                <w:kern w:val="0"/>
                <w14:ligatures w14:val="none"/>
              </w:rPr>
              <w:t>Inter-University Council Insurance Consortium</w:t>
            </w:r>
            <w:r w:rsidRPr="00F165D6">
              <w:rPr>
                <w:rFonts w:ascii="Helvetica" w:eastAsia="Times New Roman" w:hAnsi="Helvetica" w:cs="Helvetica"/>
                <w:kern w:val="0"/>
                <w14:ligatures w14:val="none"/>
              </w:rPr>
              <w:t>. Coverage is provided at a limit of $</w:t>
            </w:r>
            <w:r w:rsidR="00524963" w:rsidRPr="00F165D6">
              <w:rPr>
                <w:rFonts w:ascii="Helvetica" w:eastAsia="Times New Roman" w:hAnsi="Helvetica" w:cs="Helvetica"/>
                <w:kern w:val="0"/>
                <w14:ligatures w14:val="none"/>
              </w:rPr>
              <w:t>5,000,000</w:t>
            </w:r>
            <w:r w:rsidRPr="00F165D6">
              <w:rPr>
                <w:rFonts w:ascii="Helvetica" w:eastAsia="Times New Roman" w:hAnsi="Helvetica" w:cs="Helvetica"/>
                <w:kern w:val="0"/>
                <w14:ligatures w14:val="none"/>
              </w:rPr>
              <w:t xml:space="preserve"> per occurrence. Coverage limits cannot be adjusted up or down. </w:t>
            </w:r>
            <w:r w:rsidR="00DE5EBF" w:rsidRPr="00F165D6">
              <w:rPr>
                <w:rFonts w:ascii="Helvetica" w:eastAsia="Times New Roman" w:hAnsi="Helvetica" w:cs="Helvetica"/>
                <w:kern w:val="0"/>
                <w14:ligatures w14:val="none"/>
              </w:rPr>
              <w:t>BGSU has discontinued providing paper certificates, as the contract and Ohio law guides insurance coverage</w:t>
            </w:r>
            <w:r w:rsidR="00DE5EBF" w:rsidRPr="00F165D6">
              <w:rPr>
                <w:rFonts w:ascii="Helvetica" w:eastAsia="Times New Roman" w:hAnsi="Helvetica" w:cs="Helvetica"/>
                <w:i/>
                <w:iCs/>
                <w:kern w:val="0"/>
                <w14:ligatures w14:val="none"/>
              </w:rPr>
              <w:t>. A third party is considered an Additional Insured on the General Liability and Property policies when such an obligation exists in a written contract</w:t>
            </w:r>
            <w:r w:rsidR="00DE5EBF" w:rsidRPr="00F165D6">
              <w:rPr>
                <w:rFonts w:ascii="Helvetica" w:eastAsia="Times New Roman" w:hAnsi="Helvetica" w:cs="Helvetica"/>
                <w:kern w:val="0"/>
                <w14:ligatures w14:val="none"/>
              </w:rPr>
              <w:t xml:space="preserve">, per blanket endorsement in our policies. </w:t>
            </w:r>
            <w:r w:rsidRPr="00F165D6">
              <w:rPr>
                <w:rFonts w:ascii="Helvetica" w:eastAsia="Times New Roman" w:hAnsi="Helvetica" w:cs="Helvetica"/>
                <w:b/>
                <w:bCs/>
                <w:kern w:val="0"/>
                <w14:ligatures w14:val="none"/>
              </w:rPr>
              <w:t> </w:t>
            </w:r>
          </w:p>
        </w:tc>
      </w:tr>
      <w:tr w:rsidR="00F165D6" w:rsidRPr="00F165D6" w14:paraId="57D001FC" w14:textId="77777777" w:rsidTr="00D23E37">
        <w:tc>
          <w:tcPr>
            <w:tcW w:w="2540" w:type="pct"/>
            <w:tcBorders>
              <w:top w:val="single" w:sz="6" w:space="0" w:color="DDDDDD"/>
            </w:tcBorders>
            <w:shd w:val="clear" w:color="auto" w:fill="F0F0F0"/>
            <w:tcMar>
              <w:top w:w="135" w:type="dxa"/>
              <w:left w:w="120" w:type="dxa"/>
              <w:bottom w:w="120" w:type="dxa"/>
              <w:right w:w="270" w:type="dxa"/>
            </w:tcMar>
            <w:vAlign w:val="center"/>
            <w:hideMark/>
          </w:tcPr>
          <w:p w14:paraId="11FAB4F0" w14:textId="77777777" w:rsidR="00CB5592" w:rsidRPr="00F165D6" w:rsidRDefault="00CB5592" w:rsidP="00CB5592">
            <w:pPr>
              <w:spacing w:after="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Publication</w:t>
            </w:r>
          </w:p>
        </w:tc>
        <w:tc>
          <w:tcPr>
            <w:tcW w:w="2460" w:type="pct"/>
            <w:tcBorders>
              <w:top w:val="single" w:sz="6" w:space="0" w:color="DDDDDD"/>
            </w:tcBorders>
            <w:shd w:val="clear" w:color="auto" w:fill="F0F0F0"/>
            <w:tcMar>
              <w:top w:w="135" w:type="dxa"/>
              <w:left w:w="120" w:type="dxa"/>
              <w:bottom w:w="120" w:type="dxa"/>
              <w:right w:w="120" w:type="dxa"/>
            </w:tcMar>
            <w:vAlign w:val="center"/>
            <w:hideMark/>
          </w:tcPr>
          <w:p w14:paraId="391E3B26" w14:textId="60B2D03E" w:rsidR="00CB5592" w:rsidRPr="00F165D6" w:rsidRDefault="00CB5592" w:rsidP="00755A2B">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A primary responsibility of any institution of higher education is the development, cultivation and dissemination of new knowledge to the public. Therefore, BGSU will not agree to contract language requiring sponsor approval of publications. BGSU recognizes there may be a need to preserve intellectual property rights and protect sponsor confidential information and therefore will agree to a period for review (usually 30 days</w:t>
            </w:r>
            <w:r w:rsidR="004E012F" w:rsidRPr="00F165D6">
              <w:rPr>
                <w:rFonts w:ascii="Helvetica" w:eastAsia="Times New Roman" w:hAnsi="Helvetica" w:cs="Helvetica"/>
                <w:kern w:val="0"/>
                <w14:ligatures w14:val="none"/>
              </w:rPr>
              <w:t>) and</w:t>
            </w:r>
            <w:r w:rsidRPr="00F165D6">
              <w:rPr>
                <w:rFonts w:ascii="Helvetica" w:eastAsia="Times New Roman" w:hAnsi="Helvetica" w:cs="Helvetica"/>
                <w:kern w:val="0"/>
                <w14:ligatures w14:val="none"/>
              </w:rPr>
              <w:t xml:space="preserve"> will work with the sponsor to remove confidential information and/or to protect intellectual property. After this review period, if the sponsor has not </w:t>
            </w:r>
            <w:r w:rsidRPr="00F165D6">
              <w:rPr>
                <w:rFonts w:ascii="Helvetica" w:eastAsia="Times New Roman" w:hAnsi="Helvetica" w:cs="Helvetica"/>
                <w:kern w:val="0"/>
                <w14:ligatures w14:val="none"/>
              </w:rPr>
              <w:lastRenderedPageBreak/>
              <w:t>responded with concerns, BGSU will move forward with the publication.</w:t>
            </w:r>
            <w:r w:rsidRPr="00F165D6">
              <w:rPr>
                <w:rFonts w:ascii="Helvetica" w:eastAsia="Times New Roman" w:hAnsi="Helvetica" w:cs="Helvetica"/>
                <w:b/>
                <w:bCs/>
                <w:kern w:val="0"/>
                <w14:ligatures w14:val="none"/>
              </w:rPr>
              <w:t> </w:t>
            </w:r>
          </w:p>
        </w:tc>
      </w:tr>
      <w:tr w:rsidR="00F165D6" w:rsidRPr="00F165D6" w14:paraId="27AAC491" w14:textId="77777777" w:rsidTr="00D23E37">
        <w:tc>
          <w:tcPr>
            <w:tcW w:w="2540" w:type="pct"/>
            <w:tcBorders>
              <w:top w:val="single" w:sz="6" w:space="0" w:color="DDDDDD"/>
            </w:tcBorders>
            <w:shd w:val="clear" w:color="auto" w:fill="FFFFFF"/>
            <w:tcMar>
              <w:top w:w="135" w:type="dxa"/>
              <w:left w:w="120" w:type="dxa"/>
              <w:bottom w:w="120" w:type="dxa"/>
              <w:right w:w="270" w:type="dxa"/>
            </w:tcMar>
            <w:vAlign w:val="center"/>
            <w:hideMark/>
          </w:tcPr>
          <w:p w14:paraId="61E910F0" w14:textId="77777777" w:rsidR="00CB5592" w:rsidRPr="00F165D6" w:rsidRDefault="00CB5592" w:rsidP="00CB5592">
            <w:pPr>
              <w:spacing w:after="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lastRenderedPageBreak/>
              <w:t>Use of Names</w:t>
            </w:r>
          </w:p>
        </w:tc>
        <w:tc>
          <w:tcPr>
            <w:tcW w:w="2460" w:type="pct"/>
            <w:tcBorders>
              <w:top w:val="single" w:sz="6" w:space="0" w:color="DDDDDD"/>
            </w:tcBorders>
            <w:shd w:val="clear" w:color="auto" w:fill="FFFFFF"/>
            <w:tcMar>
              <w:top w:w="135" w:type="dxa"/>
              <w:left w:w="120" w:type="dxa"/>
              <w:bottom w:w="120" w:type="dxa"/>
              <w:right w:w="120" w:type="dxa"/>
            </w:tcMar>
            <w:vAlign w:val="center"/>
            <w:hideMark/>
          </w:tcPr>
          <w:p w14:paraId="1E43BCB2" w14:textId="1DA51211" w:rsidR="00CB5592" w:rsidRPr="00F165D6" w:rsidRDefault="00CB5592" w:rsidP="00755A2B">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 xml:space="preserve">BGSU occasionally provides lists of </w:t>
            </w:r>
            <w:proofErr w:type="gramStart"/>
            <w:r w:rsidRPr="00F165D6">
              <w:rPr>
                <w:rFonts w:ascii="Helvetica" w:eastAsia="Times New Roman" w:hAnsi="Helvetica" w:cs="Helvetica"/>
                <w:kern w:val="0"/>
                <w14:ligatures w14:val="none"/>
              </w:rPr>
              <w:t>externally-funded</w:t>
            </w:r>
            <w:proofErr w:type="gramEnd"/>
            <w:r w:rsidRPr="00F165D6">
              <w:rPr>
                <w:rFonts w:ascii="Helvetica" w:eastAsia="Times New Roman" w:hAnsi="Helvetica" w:cs="Helvetica"/>
                <w:kern w:val="0"/>
                <w14:ligatures w14:val="none"/>
              </w:rPr>
              <w:t xml:space="preserve"> research projects to stakeholders (board members, deans and other administrators, government officials, etc.). Unless requested otherwise, the name of the research project as well as the sponsor will appear on these lists.   BGSU’s position is one of accountability and transparency to Ohio citizens.</w:t>
            </w:r>
            <w:r w:rsidRPr="00F165D6">
              <w:rPr>
                <w:rFonts w:ascii="Helvetica" w:eastAsia="Times New Roman" w:hAnsi="Helvetica" w:cs="Helvetica"/>
                <w:b/>
                <w:bCs/>
                <w:kern w:val="0"/>
                <w14:ligatures w14:val="none"/>
              </w:rPr>
              <w:t> </w:t>
            </w:r>
          </w:p>
        </w:tc>
      </w:tr>
      <w:tr w:rsidR="00F165D6" w:rsidRPr="00F165D6" w14:paraId="153F9662" w14:textId="77777777" w:rsidTr="00D23E37">
        <w:tc>
          <w:tcPr>
            <w:tcW w:w="2540" w:type="pct"/>
            <w:tcBorders>
              <w:top w:val="single" w:sz="6" w:space="0" w:color="DDDDDD"/>
            </w:tcBorders>
            <w:shd w:val="clear" w:color="auto" w:fill="F0F0F0"/>
            <w:tcMar>
              <w:top w:w="135" w:type="dxa"/>
              <w:left w:w="120" w:type="dxa"/>
              <w:bottom w:w="120" w:type="dxa"/>
              <w:right w:w="270" w:type="dxa"/>
            </w:tcMar>
            <w:vAlign w:val="center"/>
            <w:hideMark/>
          </w:tcPr>
          <w:p w14:paraId="5D43C897" w14:textId="19BAC581" w:rsidR="00CB5592" w:rsidRPr="00F165D6" w:rsidRDefault="00CB5592" w:rsidP="00CB5592">
            <w:pPr>
              <w:spacing w:after="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Waivers</w:t>
            </w:r>
          </w:p>
        </w:tc>
        <w:tc>
          <w:tcPr>
            <w:tcW w:w="2460" w:type="pct"/>
            <w:tcBorders>
              <w:top w:val="single" w:sz="6" w:space="0" w:color="DDDDDD"/>
            </w:tcBorders>
            <w:shd w:val="clear" w:color="auto" w:fill="F0F0F0"/>
            <w:tcMar>
              <w:top w:w="135" w:type="dxa"/>
              <w:left w:w="120" w:type="dxa"/>
              <w:bottom w:w="120" w:type="dxa"/>
              <w:right w:w="120" w:type="dxa"/>
            </w:tcMar>
            <w:vAlign w:val="center"/>
            <w:hideMark/>
          </w:tcPr>
          <w:p w14:paraId="37D8DA68" w14:textId="46EBD1F6" w:rsidR="00CB5592" w:rsidRPr="00F165D6" w:rsidRDefault="00CB5592" w:rsidP="00755A2B">
            <w:pPr>
              <w:spacing w:after="15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 xml:space="preserve">Under Ohio’s constitution the Attorney General </w:t>
            </w:r>
            <w:r w:rsidR="000C7DC3" w:rsidRPr="00F165D6">
              <w:rPr>
                <w:rFonts w:ascii="Helvetica" w:eastAsia="Times New Roman" w:hAnsi="Helvetica" w:cs="Helvetica"/>
                <w:kern w:val="0"/>
                <w14:ligatures w14:val="none"/>
              </w:rPr>
              <w:t xml:space="preserve">serves as legal counsel for the state or for any state agency, unless allowed for under the process set forth in </w:t>
            </w:r>
            <w:r w:rsidR="000C7DC3" w:rsidRPr="00F165D6">
              <w:rPr>
                <w:rFonts w:ascii="Helvetica" w:eastAsia="Times New Roman" w:hAnsi="Helvetica" w:cs="Helvetica"/>
                <w:color w:val="1C626D" w:themeColor="accent6"/>
                <w:kern w:val="0"/>
                <w14:ligatures w14:val="none"/>
              </w:rPr>
              <w:t>section </w:t>
            </w:r>
            <w:hyperlink r:id="rId22" w:history="1">
              <w:r w:rsidR="000C7DC3" w:rsidRPr="00F165D6">
                <w:rPr>
                  <w:rStyle w:val="Hyperlink"/>
                  <w:rFonts w:ascii="Helvetica" w:eastAsia="Times New Roman" w:hAnsi="Helvetica" w:cs="Helvetica"/>
                  <w:color w:val="1C626D" w:themeColor="accent6"/>
                  <w:kern w:val="0"/>
                  <w14:ligatures w14:val="none"/>
                </w:rPr>
                <w:t>109.07</w:t>
              </w:r>
            </w:hyperlink>
            <w:r w:rsidR="000C7DC3" w:rsidRPr="00F165D6">
              <w:rPr>
                <w:rFonts w:ascii="Helvetica" w:eastAsia="Times New Roman" w:hAnsi="Helvetica" w:cs="Helvetica"/>
                <w:kern w:val="0"/>
                <w14:ligatures w14:val="none"/>
              </w:rPr>
              <w:t> of the Revised Code.</w:t>
            </w:r>
            <w:r w:rsidRPr="00F165D6">
              <w:rPr>
                <w:rFonts w:ascii="Helvetica" w:eastAsia="Times New Roman" w:hAnsi="Helvetica" w:cs="Helvetica"/>
                <w:kern w:val="0"/>
                <w14:ligatures w14:val="none"/>
              </w:rPr>
              <w:t>. BGSU cannot usurp the authority of the Attorney General by agreeing to control the way litigation would be managed in the event of a dispute. We cannot agree that we would submit to the laws or jurisdiction of another state, that we would waiver formal service of process, or to binding arbitration. We cannot sign contracts that usurp the constitutional authority of the state Attorney General.</w:t>
            </w:r>
            <w:r w:rsidRPr="00F165D6">
              <w:rPr>
                <w:rFonts w:ascii="Helvetica" w:eastAsia="Times New Roman" w:hAnsi="Helvetica" w:cs="Helvetica"/>
                <w:b/>
                <w:bCs/>
                <w:kern w:val="0"/>
                <w14:ligatures w14:val="none"/>
              </w:rPr>
              <w:t> </w:t>
            </w:r>
          </w:p>
        </w:tc>
      </w:tr>
      <w:tr w:rsidR="00F165D6" w:rsidRPr="00F165D6" w14:paraId="32059D4B" w14:textId="77777777" w:rsidTr="00D23E37">
        <w:tc>
          <w:tcPr>
            <w:tcW w:w="2540" w:type="pct"/>
            <w:tcBorders>
              <w:top w:val="single" w:sz="6" w:space="0" w:color="DDDDDD"/>
              <w:bottom w:val="single" w:sz="6" w:space="0" w:color="DDDDDD"/>
            </w:tcBorders>
            <w:shd w:val="clear" w:color="auto" w:fill="FFFFFF"/>
            <w:tcMar>
              <w:top w:w="135" w:type="dxa"/>
              <w:left w:w="120" w:type="dxa"/>
              <w:bottom w:w="120" w:type="dxa"/>
              <w:right w:w="270" w:type="dxa"/>
            </w:tcMar>
            <w:vAlign w:val="center"/>
            <w:hideMark/>
          </w:tcPr>
          <w:p w14:paraId="4378F5D5" w14:textId="7E9E9FC6" w:rsidR="00CB5592" w:rsidRPr="00F165D6" w:rsidRDefault="00CB5592" w:rsidP="00CB5592">
            <w:pPr>
              <w:spacing w:after="0" w:line="285" w:lineRule="atLeast"/>
              <w:rPr>
                <w:rFonts w:ascii="Helvetica" w:eastAsia="Times New Roman" w:hAnsi="Helvetica" w:cs="Helvetica"/>
                <w:kern w:val="0"/>
                <w14:ligatures w14:val="none"/>
              </w:rPr>
            </w:pPr>
            <w:r w:rsidRPr="00F165D6">
              <w:rPr>
                <w:rFonts w:ascii="Helvetica" w:eastAsia="Times New Roman" w:hAnsi="Helvetica" w:cs="Helvetica"/>
                <w:b/>
                <w:bCs/>
                <w:kern w:val="0"/>
                <w:u w:val="single"/>
                <w14:ligatures w14:val="none"/>
              </w:rPr>
              <w:t>Warranty/Guarantee</w:t>
            </w:r>
          </w:p>
        </w:tc>
        <w:tc>
          <w:tcPr>
            <w:tcW w:w="2460" w:type="pct"/>
            <w:tcBorders>
              <w:top w:val="single" w:sz="6" w:space="0" w:color="DDDDDD"/>
              <w:bottom w:val="single" w:sz="6" w:space="0" w:color="DDDDDD"/>
            </w:tcBorders>
            <w:shd w:val="clear" w:color="auto" w:fill="FFFFFF"/>
            <w:tcMar>
              <w:top w:w="135" w:type="dxa"/>
              <w:left w:w="120" w:type="dxa"/>
              <w:bottom w:w="120" w:type="dxa"/>
              <w:right w:w="120" w:type="dxa"/>
            </w:tcMar>
            <w:vAlign w:val="center"/>
            <w:hideMark/>
          </w:tcPr>
          <w:p w14:paraId="127BCA1E" w14:textId="3816EF8E" w:rsidR="00CB5592" w:rsidRPr="00F165D6" w:rsidRDefault="00CB5592" w:rsidP="00CB5592">
            <w:pPr>
              <w:spacing w:after="0" w:line="285" w:lineRule="atLeast"/>
              <w:rPr>
                <w:rFonts w:ascii="Helvetica" w:eastAsia="Times New Roman" w:hAnsi="Helvetica" w:cs="Helvetica"/>
                <w:kern w:val="0"/>
                <w14:ligatures w14:val="none"/>
              </w:rPr>
            </w:pPr>
            <w:r w:rsidRPr="00F165D6">
              <w:rPr>
                <w:rFonts w:ascii="Helvetica" w:eastAsia="Times New Roman" w:hAnsi="Helvetica" w:cs="Helvetica"/>
                <w:kern w:val="0"/>
                <w14:ligatures w14:val="none"/>
              </w:rPr>
              <w:t xml:space="preserve">University research is experimental in nature. </w:t>
            </w:r>
            <w:r w:rsidR="004E012F" w:rsidRPr="00F165D6">
              <w:rPr>
                <w:rFonts w:ascii="Helvetica" w:eastAsia="Times New Roman" w:hAnsi="Helvetica" w:cs="Helvetica"/>
                <w:kern w:val="0"/>
                <w14:ligatures w14:val="none"/>
              </w:rPr>
              <w:t>Therefore,</w:t>
            </w:r>
            <w:r w:rsidRPr="00F165D6">
              <w:rPr>
                <w:rFonts w:ascii="Helvetica" w:eastAsia="Times New Roman" w:hAnsi="Helvetica" w:cs="Helvetica"/>
                <w:kern w:val="0"/>
                <w14:ligatures w14:val="none"/>
              </w:rPr>
              <w:t xml:space="preserve"> BGSU will not make any warranties or guarantees </w:t>
            </w:r>
            <w:proofErr w:type="gramStart"/>
            <w:r w:rsidRPr="00F165D6">
              <w:rPr>
                <w:rFonts w:ascii="Helvetica" w:eastAsia="Times New Roman" w:hAnsi="Helvetica" w:cs="Helvetica"/>
                <w:kern w:val="0"/>
                <w14:ligatures w14:val="none"/>
              </w:rPr>
              <w:t>with regard to</w:t>
            </w:r>
            <w:proofErr w:type="gramEnd"/>
            <w:r w:rsidRPr="00F165D6">
              <w:rPr>
                <w:rFonts w:ascii="Helvetica" w:eastAsia="Times New Roman" w:hAnsi="Helvetica" w:cs="Helvetica"/>
                <w:kern w:val="0"/>
                <w14:ligatures w14:val="none"/>
              </w:rPr>
              <w:t xml:space="preserve"> the results of the research. However, BGSU is willing to agree to use reasonable efforts to perform the research as set forth in the statement of work and within the established budget.</w:t>
            </w:r>
          </w:p>
        </w:tc>
      </w:tr>
      <w:tr w:rsidR="00F165D6" w:rsidRPr="00F165D6" w14:paraId="4D6DDF91" w14:textId="77777777" w:rsidTr="00D23E37">
        <w:tc>
          <w:tcPr>
            <w:tcW w:w="2540" w:type="pct"/>
            <w:tcBorders>
              <w:top w:val="single" w:sz="6" w:space="0" w:color="DDDDDD"/>
            </w:tcBorders>
            <w:shd w:val="clear" w:color="auto" w:fill="FFFFFF"/>
            <w:tcMar>
              <w:top w:w="135" w:type="dxa"/>
              <w:left w:w="120" w:type="dxa"/>
              <w:bottom w:w="120" w:type="dxa"/>
              <w:right w:w="270" w:type="dxa"/>
            </w:tcMar>
            <w:vAlign w:val="center"/>
          </w:tcPr>
          <w:p w14:paraId="2D1061A1" w14:textId="45B456E4" w:rsidR="000C7DC3" w:rsidRPr="00F165D6" w:rsidRDefault="000C7DC3" w:rsidP="00CB5592">
            <w:pPr>
              <w:spacing w:after="0" w:line="285" w:lineRule="atLeast"/>
              <w:rPr>
                <w:rFonts w:ascii="Helvetica" w:eastAsia="Times New Roman" w:hAnsi="Helvetica" w:cs="Helvetica"/>
                <w:b/>
                <w:bCs/>
                <w:kern w:val="0"/>
                <w:u w:val="single"/>
                <w14:ligatures w14:val="none"/>
              </w:rPr>
            </w:pPr>
          </w:p>
        </w:tc>
        <w:tc>
          <w:tcPr>
            <w:tcW w:w="2460" w:type="pct"/>
            <w:tcBorders>
              <w:top w:val="single" w:sz="6" w:space="0" w:color="DDDDDD"/>
            </w:tcBorders>
            <w:shd w:val="clear" w:color="auto" w:fill="FFFFFF"/>
            <w:tcMar>
              <w:top w:w="135" w:type="dxa"/>
              <w:left w:w="120" w:type="dxa"/>
              <w:bottom w:w="120" w:type="dxa"/>
              <w:right w:w="120" w:type="dxa"/>
            </w:tcMar>
            <w:vAlign w:val="center"/>
          </w:tcPr>
          <w:p w14:paraId="687E396C" w14:textId="13F8AA92" w:rsidR="000C7DC3" w:rsidRPr="00F165D6" w:rsidRDefault="000C7DC3" w:rsidP="00CB5592">
            <w:pPr>
              <w:spacing w:after="0" w:line="285" w:lineRule="atLeast"/>
              <w:rPr>
                <w:rFonts w:ascii="Helvetica" w:eastAsia="Times New Roman" w:hAnsi="Helvetica" w:cs="Helvetica"/>
                <w:kern w:val="0"/>
                <w14:ligatures w14:val="none"/>
              </w:rPr>
            </w:pPr>
          </w:p>
        </w:tc>
      </w:tr>
    </w:tbl>
    <w:p w14:paraId="50BBDF76" w14:textId="77777777" w:rsidR="00CB5592" w:rsidRDefault="00CB5592"/>
    <w:sectPr w:rsidR="00CB5592" w:rsidSect="00966D3B">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6497C"/>
    <w:multiLevelType w:val="multilevel"/>
    <w:tmpl w:val="BF36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3E23F6"/>
    <w:multiLevelType w:val="multilevel"/>
    <w:tmpl w:val="BF36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383422">
    <w:abstractNumId w:val="0"/>
    <w:lvlOverride w:ilvl="0">
      <w:startOverride w:val="7"/>
    </w:lvlOverride>
  </w:num>
  <w:num w:numId="2" w16cid:durableId="151889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92"/>
    <w:rsid w:val="00011F8D"/>
    <w:rsid w:val="000C7DC3"/>
    <w:rsid w:val="000F7924"/>
    <w:rsid w:val="003330E8"/>
    <w:rsid w:val="003A1D00"/>
    <w:rsid w:val="003F391F"/>
    <w:rsid w:val="004E012F"/>
    <w:rsid w:val="004F7F92"/>
    <w:rsid w:val="00524963"/>
    <w:rsid w:val="00631714"/>
    <w:rsid w:val="00755A2B"/>
    <w:rsid w:val="00897887"/>
    <w:rsid w:val="008D61AE"/>
    <w:rsid w:val="00966D3B"/>
    <w:rsid w:val="009B3831"/>
    <w:rsid w:val="00AE7086"/>
    <w:rsid w:val="00B53146"/>
    <w:rsid w:val="00C42E1C"/>
    <w:rsid w:val="00CB5592"/>
    <w:rsid w:val="00D23E37"/>
    <w:rsid w:val="00DE5EBF"/>
    <w:rsid w:val="00F165D6"/>
    <w:rsid w:val="00F4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7831DD5"/>
  <w15:chartTrackingRefBased/>
  <w15:docId w15:val="{3A502AEE-5655-4FB0-AC87-D4815BFF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592"/>
    <w:pPr>
      <w:keepNext/>
      <w:keepLines/>
      <w:spacing w:before="360" w:after="80"/>
      <w:outlineLvl w:val="0"/>
    </w:pPr>
    <w:rPr>
      <w:rFonts w:asciiTheme="majorHAnsi" w:eastAsiaTheme="majorEastAsia" w:hAnsiTheme="majorHAnsi" w:cstheme="majorBidi"/>
      <w:color w:val="3A2015" w:themeColor="accent1" w:themeShade="BF"/>
      <w:sz w:val="40"/>
      <w:szCs w:val="40"/>
    </w:rPr>
  </w:style>
  <w:style w:type="paragraph" w:styleId="Heading2">
    <w:name w:val="heading 2"/>
    <w:basedOn w:val="Normal"/>
    <w:next w:val="Normal"/>
    <w:link w:val="Heading2Char"/>
    <w:uiPriority w:val="9"/>
    <w:semiHidden/>
    <w:unhideWhenUsed/>
    <w:qFormat/>
    <w:rsid w:val="00CB5592"/>
    <w:pPr>
      <w:keepNext/>
      <w:keepLines/>
      <w:spacing w:before="160" w:after="80"/>
      <w:outlineLvl w:val="1"/>
    </w:pPr>
    <w:rPr>
      <w:rFonts w:asciiTheme="majorHAnsi" w:eastAsiaTheme="majorEastAsia" w:hAnsiTheme="majorHAnsi" w:cstheme="majorBidi"/>
      <w:color w:val="3A2015" w:themeColor="accent1" w:themeShade="BF"/>
      <w:sz w:val="32"/>
      <w:szCs w:val="32"/>
    </w:rPr>
  </w:style>
  <w:style w:type="paragraph" w:styleId="Heading3">
    <w:name w:val="heading 3"/>
    <w:basedOn w:val="Normal"/>
    <w:next w:val="Normal"/>
    <w:link w:val="Heading3Char"/>
    <w:uiPriority w:val="9"/>
    <w:semiHidden/>
    <w:unhideWhenUsed/>
    <w:qFormat/>
    <w:rsid w:val="00CB5592"/>
    <w:pPr>
      <w:keepNext/>
      <w:keepLines/>
      <w:spacing w:before="160" w:after="80"/>
      <w:outlineLvl w:val="2"/>
    </w:pPr>
    <w:rPr>
      <w:rFonts w:eastAsiaTheme="majorEastAsia" w:cstheme="majorBidi"/>
      <w:color w:val="3A2015" w:themeColor="accent1" w:themeShade="BF"/>
      <w:sz w:val="28"/>
      <w:szCs w:val="28"/>
    </w:rPr>
  </w:style>
  <w:style w:type="paragraph" w:styleId="Heading4">
    <w:name w:val="heading 4"/>
    <w:basedOn w:val="Normal"/>
    <w:next w:val="Normal"/>
    <w:link w:val="Heading4Char"/>
    <w:uiPriority w:val="9"/>
    <w:semiHidden/>
    <w:unhideWhenUsed/>
    <w:qFormat/>
    <w:rsid w:val="00CB5592"/>
    <w:pPr>
      <w:keepNext/>
      <w:keepLines/>
      <w:spacing w:before="80" w:after="40"/>
      <w:outlineLvl w:val="3"/>
    </w:pPr>
    <w:rPr>
      <w:rFonts w:eastAsiaTheme="majorEastAsia" w:cstheme="majorBidi"/>
      <w:i/>
      <w:iCs/>
      <w:color w:val="3A2015" w:themeColor="accent1" w:themeShade="BF"/>
    </w:rPr>
  </w:style>
  <w:style w:type="paragraph" w:styleId="Heading5">
    <w:name w:val="heading 5"/>
    <w:basedOn w:val="Normal"/>
    <w:next w:val="Normal"/>
    <w:link w:val="Heading5Char"/>
    <w:uiPriority w:val="9"/>
    <w:semiHidden/>
    <w:unhideWhenUsed/>
    <w:qFormat/>
    <w:rsid w:val="00CB5592"/>
    <w:pPr>
      <w:keepNext/>
      <w:keepLines/>
      <w:spacing w:before="80" w:after="40"/>
      <w:outlineLvl w:val="4"/>
    </w:pPr>
    <w:rPr>
      <w:rFonts w:eastAsiaTheme="majorEastAsia" w:cstheme="majorBidi"/>
      <w:color w:val="3A2015" w:themeColor="accent1" w:themeShade="BF"/>
    </w:rPr>
  </w:style>
  <w:style w:type="paragraph" w:styleId="Heading6">
    <w:name w:val="heading 6"/>
    <w:basedOn w:val="Normal"/>
    <w:next w:val="Normal"/>
    <w:link w:val="Heading6Char"/>
    <w:uiPriority w:val="9"/>
    <w:semiHidden/>
    <w:unhideWhenUsed/>
    <w:qFormat/>
    <w:rsid w:val="00CB5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592"/>
    <w:rPr>
      <w:rFonts w:asciiTheme="majorHAnsi" w:eastAsiaTheme="majorEastAsia" w:hAnsiTheme="majorHAnsi" w:cstheme="majorBidi"/>
      <w:color w:val="3A2015" w:themeColor="accent1" w:themeShade="BF"/>
      <w:sz w:val="40"/>
      <w:szCs w:val="40"/>
    </w:rPr>
  </w:style>
  <w:style w:type="character" w:customStyle="1" w:styleId="Heading2Char">
    <w:name w:val="Heading 2 Char"/>
    <w:basedOn w:val="DefaultParagraphFont"/>
    <w:link w:val="Heading2"/>
    <w:uiPriority w:val="9"/>
    <w:semiHidden/>
    <w:rsid w:val="00CB5592"/>
    <w:rPr>
      <w:rFonts w:asciiTheme="majorHAnsi" w:eastAsiaTheme="majorEastAsia" w:hAnsiTheme="majorHAnsi" w:cstheme="majorBidi"/>
      <w:color w:val="3A2015" w:themeColor="accent1" w:themeShade="BF"/>
      <w:sz w:val="32"/>
      <w:szCs w:val="32"/>
    </w:rPr>
  </w:style>
  <w:style w:type="character" w:customStyle="1" w:styleId="Heading3Char">
    <w:name w:val="Heading 3 Char"/>
    <w:basedOn w:val="DefaultParagraphFont"/>
    <w:link w:val="Heading3"/>
    <w:uiPriority w:val="9"/>
    <w:semiHidden/>
    <w:rsid w:val="00CB5592"/>
    <w:rPr>
      <w:rFonts w:eastAsiaTheme="majorEastAsia" w:cstheme="majorBidi"/>
      <w:color w:val="3A2015" w:themeColor="accent1" w:themeShade="BF"/>
      <w:sz w:val="28"/>
      <w:szCs w:val="28"/>
    </w:rPr>
  </w:style>
  <w:style w:type="character" w:customStyle="1" w:styleId="Heading4Char">
    <w:name w:val="Heading 4 Char"/>
    <w:basedOn w:val="DefaultParagraphFont"/>
    <w:link w:val="Heading4"/>
    <w:uiPriority w:val="9"/>
    <w:semiHidden/>
    <w:rsid w:val="00CB5592"/>
    <w:rPr>
      <w:rFonts w:eastAsiaTheme="majorEastAsia" w:cstheme="majorBidi"/>
      <w:i/>
      <w:iCs/>
      <w:color w:val="3A2015" w:themeColor="accent1" w:themeShade="BF"/>
    </w:rPr>
  </w:style>
  <w:style w:type="character" w:customStyle="1" w:styleId="Heading5Char">
    <w:name w:val="Heading 5 Char"/>
    <w:basedOn w:val="DefaultParagraphFont"/>
    <w:link w:val="Heading5"/>
    <w:uiPriority w:val="9"/>
    <w:semiHidden/>
    <w:rsid w:val="00CB5592"/>
    <w:rPr>
      <w:rFonts w:eastAsiaTheme="majorEastAsia" w:cstheme="majorBidi"/>
      <w:color w:val="3A2015" w:themeColor="accent1" w:themeShade="BF"/>
    </w:rPr>
  </w:style>
  <w:style w:type="character" w:customStyle="1" w:styleId="Heading6Char">
    <w:name w:val="Heading 6 Char"/>
    <w:basedOn w:val="DefaultParagraphFont"/>
    <w:link w:val="Heading6"/>
    <w:uiPriority w:val="9"/>
    <w:semiHidden/>
    <w:rsid w:val="00CB5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592"/>
    <w:rPr>
      <w:rFonts w:eastAsiaTheme="majorEastAsia" w:cstheme="majorBidi"/>
      <w:color w:val="272727" w:themeColor="text1" w:themeTint="D8"/>
    </w:rPr>
  </w:style>
  <w:style w:type="paragraph" w:styleId="Title">
    <w:name w:val="Title"/>
    <w:basedOn w:val="Normal"/>
    <w:next w:val="Normal"/>
    <w:link w:val="TitleChar"/>
    <w:uiPriority w:val="10"/>
    <w:qFormat/>
    <w:rsid w:val="00CB5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592"/>
    <w:pPr>
      <w:spacing w:before="160"/>
      <w:jc w:val="center"/>
    </w:pPr>
    <w:rPr>
      <w:i/>
      <w:iCs/>
      <w:color w:val="404040" w:themeColor="text1" w:themeTint="BF"/>
    </w:rPr>
  </w:style>
  <w:style w:type="character" w:customStyle="1" w:styleId="QuoteChar">
    <w:name w:val="Quote Char"/>
    <w:basedOn w:val="DefaultParagraphFont"/>
    <w:link w:val="Quote"/>
    <w:uiPriority w:val="29"/>
    <w:rsid w:val="00CB5592"/>
    <w:rPr>
      <w:i/>
      <w:iCs/>
      <w:color w:val="404040" w:themeColor="text1" w:themeTint="BF"/>
    </w:rPr>
  </w:style>
  <w:style w:type="paragraph" w:styleId="ListParagraph">
    <w:name w:val="List Paragraph"/>
    <w:basedOn w:val="Normal"/>
    <w:uiPriority w:val="34"/>
    <w:qFormat/>
    <w:rsid w:val="00CB5592"/>
    <w:pPr>
      <w:ind w:left="720"/>
      <w:contextualSpacing/>
    </w:pPr>
  </w:style>
  <w:style w:type="character" w:styleId="IntenseEmphasis">
    <w:name w:val="Intense Emphasis"/>
    <w:basedOn w:val="DefaultParagraphFont"/>
    <w:uiPriority w:val="21"/>
    <w:qFormat/>
    <w:rsid w:val="00CB5592"/>
    <w:rPr>
      <w:i/>
      <w:iCs/>
      <w:color w:val="3A2015" w:themeColor="accent1" w:themeShade="BF"/>
    </w:rPr>
  </w:style>
  <w:style w:type="paragraph" w:styleId="IntenseQuote">
    <w:name w:val="Intense Quote"/>
    <w:basedOn w:val="Normal"/>
    <w:next w:val="Normal"/>
    <w:link w:val="IntenseQuoteChar"/>
    <w:uiPriority w:val="30"/>
    <w:qFormat/>
    <w:rsid w:val="00CB5592"/>
    <w:pPr>
      <w:pBdr>
        <w:top w:val="single" w:sz="4" w:space="10" w:color="3A2015" w:themeColor="accent1" w:themeShade="BF"/>
        <w:bottom w:val="single" w:sz="4" w:space="10" w:color="3A2015" w:themeColor="accent1" w:themeShade="BF"/>
      </w:pBdr>
      <w:spacing w:before="360" w:after="360"/>
      <w:ind w:left="864" w:right="864"/>
      <w:jc w:val="center"/>
    </w:pPr>
    <w:rPr>
      <w:i/>
      <w:iCs/>
      <w:color w:val="3A2015" w:themeColor="accent1" w:themeShade="BF"/>
    </w:rPr>
  </w:style>
  <w:style w:type="character" w:customStyle="1" w:styleId="IntenseQuoteChar">
    <w:name w:val="Intense Quote Char"/>
    <w:basedOn w:val="DefaultParagraphFont"/>
    <w:link w:val="IntenseQuote"/>
    <w:uiPriority w:val="30"/>
    <w:rsid w:val="00CB5592"/>
    <w:rPr>
      <w:i/>
      <w:iCs/>
      <w:color w:val="3A2015" w:themeColor="accent1" w:themeShade="BF"/>
    </w:rPr>
  </w:style>
  <w:style w:type="character" w:styleId="IntenseReference">
    <w:name w:val="Intense Reference"/>
    <w:basedOn w:val="DefaultParagraphFont"/>
    <w:uiPriority w:val="32"/>
    <w:qFormat/>
    <w:rsid w:val="00CB5592"/>
    <w:rPr>
      <w:b/>
      <w:bCs/>
      <w:smallCaps/>
      <w:color w:val="3A2015" w:themeColor="accent1" w:themeShade="BF"/>
      <w:spacing w:val="5"/>
    </w:rPr>
  </w:style>
  <w:style w:type="character" w:styleId="Hyperlink">
    <w:name w:val="Hyperlink"/>
    <w:basedOn w:val="DefaultParagraphFont"/>
    <w:uiPriority w:val="99"/>
    <w:unhideWhenUsed/>
    <w:rsid w:val="00F42CD9"/>
    <w:rPr>
      <w:color w:val="FD5000" w:themeColor="hyperlink"/>
      <w:u w:val="single"/>
    </w:rPr>
  </w:style>
  <w:style w:type="character" w:styleId="UnresolvedMention">
    <w:name w:val="Unresolved Mention"/>
    <w:basedOn w:val="DefaultParagraphFont"/>
    <w:uiPriority w:val="99"/>
    <w:semiHidden/>
    <w:unhideWhenUsed/>
    <w:rsid w:val="00F42CD9"/>
    <w:rPr>
      <w:color w:val="605E5C"/>
      <w:shd w:val="clear" w:color="auto" w:fill="E1DFDD"/>
    </w:rPr>
  </w:style>
  <w:style w:type="paragraph" w:styleId="Revision">
    <w:name w:val="Revision"/>
    <w:hidden/>
    <w:uiPriority w:val="99"/>
    <w:semiHidden/>
    <w:rsid w:val="00F42CD9"/>
    <w:pPr>
      <w:spacing w:after="0" w:line="240" w:lineRule="auto"/>
    </w:pPr>
  </w:style>
  <w:style w:type="character" w:styleId="FollowedHyperlink">
    <w:name w:val="FollowedHyperlink"/>
    <w:basedOn w:val="DefaultParagraphFont"/>
    <w:uiPriority w:val="99"/>
    <w:semiHidden/>
    <w:unhideWhenUsed/>
    <w:rsid w:val="003A1D00"/>
    <w:rPr>
      <w:color w:val="1C626D" w:themeColor="followedHyperlink"/>
      <w:u w:val="single"/>
    </w:rPr>
  </w:style>
  <w:style w:type="character" w:styleId="Strong">
    <w:name w:val="Strong"/>
    <w:basedOn w:val="DefaultParagraphFont"/>
    <w:uiPriority w:val="22"/>
    <w:qFormat/>
    <w:rsid w:val="004E0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4120">
      <w:bodyDiv w:val="1"/>
      <w:marLeft w:val="0"/>
      <w:marRight w:val="0"/>
      <w:marTop w:val="0"/>
      <w:marBottom w:val="0"/>
      <w:divBdr>
        <w:top w:val="none" w:sz="0" w:space="0" w:color="auto"/>
        <w:left w:val="none" w:sz="0" w:space="0" w:color="auto"/>
        <w:bottom w:val="none" w:sz="0" w:space="0" w:color="auto"/>
        <w:right w:val="none" w:sz="0" w:space="0" w:color="auto"/>
      </w:divBdr>
    </w:div>
    <w:div w:id="386879968">
      <w:bodyDiv w:val="1"/>
      <w:marLeft w:val="0"/>
      <w:marRight w:val="0"/>
      <w:marTop w:val="0"/>
      <w:marBottom w:val="0"/>
      <w:divBdr>
        <w:top w:val="none" w:sz="0" w:space="0" w:color="auto"/>
        <w:left w:val="none" w:sz="0" w:space="0" w:color="auto"/>
        <w:bottom w:val="none" w:sz="0" w:space="0" w:color="auto"/>
        <w:right w:val="none" w:sz="0" w:space="0" w:color="auto"/>
      </w:divBdr>
    </w:div>
    <w:div w:id="1270434723">
      <w:bodyDiv w:val="1"/>
      <w:marLeft w:val="0"/>
      <w:marRight w:val="0"/>
      <w:marTop w:val="0"/>
      <w:marBottom w:val="0"/>
      <w:divBdr>
        <w:top w:val="none" w:sz="0" w:space="0" w:color="auto"/>
        <w:left w:val="none" w:sz="0" w:space="0" w:color="auto"/>
        <w:bottom w:val="none" w:sz="0" w:space="0" w:color="auto"/>
        <w:right w:val="none" w:sz="0" w:space="0" w:color="auto"/>
      </w:divBdr>
    </w:div>
    <w:div w:id="13339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u.edu/general-counsel/contracts.html" TargetMode="External"/><Relationship Id="rId13" Type="http://schemas.openxmlformats.org/officeDocument/2006/relationships/hyperlink" Target="http://codes.ohio.gov/orc/2743.03" TargetMode="External"/><Relationship Id="rId18" Type="http://schemas.openxmlformats.org/officeDocument/2006/relationships/hyperlink" Target="https://codes.ohio.gov/ohio-revised-code/section-9.27" TargetMode="External"/><Relationship Id="rId3" Type="http://schemas.openxmlformats.org/officeDocument/2006/relationships/settings" Target="settings.xml"/><Relationship Id="rId21" Type="http://schemas.openxmlformats.org/officeDocument/2006/relationships/hyperlink" Target="http://codes.ohio.gov/orc/3345.14" TargetMode="External"/><Relationship Id="rId7" Type="http://schemas.openxmlformats.org/officeDocument/2006/relationships/hyperlink" Target="https://www.bgsu.edu/general-counsel/contracts.html" TargetMode="External"/><Relationship Id="rId12" Type="http://schemas.openxmlformats.org/officeDocument/2006/relationships/hyperlink" Target="http://codes.ohio.gov/orc/2743.02" TargetMode="External"/><Relationship Id="rId17" Type="http://schemas.openxmlformats.org/officeDocument/2006/relationships/hyperlink" Target="http://codes.ohio.gov/orc/149.43" TargetMode="External"/><Relationship Id="rId2" Type="http://schemas.openxmlformats.org/officeDocument/2006/relationships/styles" Target="styles.xml"/><Relationship Id="rId16" Type="http://schemas.openxmlformats.org/officeDocument/2006/relationships/hyperlink" Target="http://codes.ohio.gov/orc/149.43" TargetMode="External"/><Relationship Id="rId20" Type="http://schemas.openxmlformats.org/officeDocument/2006/relationships/hyperlink" Target="http://ballotpedia.org/wiki/index.php/Article_II,_Ohio_Constitution" TargetMode="External"/><Relationship Id="rId1" Type="http://schemas.openxmlformats.org/officeDocument/2006/relationships/numbering" Target="numbering.xml"/><Relationship Id="rId6" Type="http://schemas.openxmlformats.org/officeDocument/2006/relationships/hyperlink" Target="https://www.bgsu.edu/purchasing.html" TargetMode="External"/><Relationship Id="rId11" Type="http://schemas.openxmlformats.org/officeDocument/2006/relationships/hyperlink" Target="https://codes.ohio.gov/ohio-revised-code/section-9.27" TargetMode="External"/><Relationship Id="rId24" Type="http://schemas.openxmlformats.org/officeDocument/2006/relationships/theme" Target="theme/theme1.xml"/><Relationship Id="rId5" Type="http://schemas.openxmlformats.org/officeDocument/2006/relationships/hyperlink" Target="https://bgsu.az1.qualtrics.com/jfe/form/SV_2udShCGJD1dIzSS" TargetMode="External"/><Relationship Id="rId15" Type="http://schemas.openxmlformats.org/officeDocument/2006/relationships/hyperlink" Target="http://codes.ohio.gov/orc/149.43" TargetMode="External"/><Relationship Id="rId23" Type="http://schemas.openxmlformats.org/officeDocument/2006/relationships/fontTable" Target="fontTable.xml"/><Relationship Id="rId10" Type="http://schemas.openxmlformats.org/officeDocument/2006/relationships/hyperlink" Target="https://www.ohioattorneygeneral.gov/Business/Commercialization/Essential-Terms" TargetMode="External"/><Relationship Id="rId19" Type="http://schemas.openxmlformats.org/officeDocument/2006/relationships/hyperlink" Target="https://www.ohioattorneygeneral.gov/Files/Business-and-nonprofits/Commercialization/OAG-Opinion-1996-060.aspx" TargetMode="External"/><Relationship Id="rId4" Type="http://schemas.openxmlformats.org/officeDocument/2006/relationships/webSettings" Target="webSettings.xml"/><Relationship Id="rId9" Type="http://schemas.openxmlformats.org/officeDocument/2006/relationships/hyperlink" Target="https://www.bgsu.edu/general-counsel/contracts.html" TargetMode="External"/><Relationship Id="rId14" Type="http://schemas.openxmlformats.org/officeDocument/2006/relationships/hyperlink" Target="https://codes.ohio.gov/ohio-revised-code/section-9.27" TargetMode="External"/><Relationship Id="rId22" Type="http://schemas.openxmlformats.org/officeDocument/2006/relationships/hyperlink" Target="https://codes.ohio.gov/ohio-revised-code/section-109.07" TargetMode="External"/></Relationships>
</file>

<file path=word/theme/theme1.xml><?xml version="1.0" encoding="utf-8"?>
<a:theme xmlns:a="http://schemas.openxmlformats.org/drawingml/2006/main" name="Office Theme">
  <a:themeElements>
    <a:clrScheme name="BGSU">
      <a:dk1>
        <a:srgbClr val="000000"/>
      </a:dk1>
      <a:lt1>
        <a:sysClr val="window" lastClr="FFFFFF"/>
      </a:lt1>
      <a:dk2>
        <a:srgbClr val="4F2C1D"/>
      </a:dk2>
      <a:lt2>
        <a:srgbClr val="FFFFFF"/>
      </a:lt2>
      <a:accent1>
        <a:srgbClr val="4F2C1D"/>
      </a:accent1>
      <a:accent2>
        <a:srgbClr val="FD5000"/>
      </a:accent2>
      <a:accent3>
        <a:srgbClr val="E3A492"/>
      </a:accent3>
      <a:accent4>
        <a:srgbClr val="F5C163"/>
      </a:accent4>
      <a:accent5>
        <a:srgbClr val="B99B80"/>
      </a:accent5>
      <a:accent6>
        <a:srgbClr val="1C626D"/>
      </a:accent6>
      <a:hlink>
        <a:srgbClr val="FD5000"/>
      </a:hlink>
      <a:folHlink>
        <a:srgbClr val="1C626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1551</Words>
  <Characters>8845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 Fox</dc:creator>
  <cp:keywords/>
  <dc:description/>
  <cp:lastModifiedBy>Emma Elyse Montgomery</cp:lastModifiedBy>
  <cp:revision>2</cp:revision>
  <dcterms:created xsi:type="dcterms:W3CDTF">2025-07-09T18:52:00Z</dcterms:created>
  <dcterms:modified xsi:type="dcterms:W3CDTF">2025-07-09T18:52:00Z</dcterms:modified>
</cp:coreProperties>
</file>