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C0D12" w14:textId="77777777" w:rsidR="009127E8" w:rsidRDefault="009127E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jc w:val="center"/>
        <w:rPr>
          <w:rFonts w:ascii="Geneva" w:hAnsi="Geneva"/>
          <w:color w:val="000000"/>
          <w:sz w:val="18"/>
        </w:rPr>
      </w:pPr>
      <w:r>
        <w:rPr>
          <w:rFonts w:ascii="Geneva" w:hAnsi="Geneva"/>
          <w:b/>
          <w:color w:val="000000"/>
          <w:sz w:val="18"/>
        </w:rPr>
        <w:t>CHAIR/DIRECTOR ANNUAL EVALUATION FORM</w:t>
      </w:r>
    </w:p>
    <w:p w14:paraId="79AE36FD" w14:textId="77777777" w:rsidR="009127E8" w:rsidRDefault="009127E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Geneva" w:hAnsi="Geneva"/>
          <w:color w:val="000000"/>
          <w:sz w:val="18"/>
        </w:rPr>
      </w:pPr>
    </w:p>
    <w:p w14:paraId="2B8084BE" w14:textId="77777777" w:rsidR="009127E8" w:rsidRDefault="009127E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Geneva" w:hAnsi="Geneva"/>
          <w:color w:val="000000"/>
          <w:sz w:val="18"/>
        </w:rPr>
      </w:pPr>
    </w:p>
    <w:p w14:paraId="7C71382C" w14:textId="18A052FD" w:rsidR="009127E8" w:rsidRDefault="009127E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ind w:left="-720" w:right="-720"/>
        <w:rPr>
          <w:rFonts w:ascii="Geneva" w:hAnsi="Geneva"/>
          <w:color w:val="000000"/>
          <w:sz w:val="18"/>
        </w:rPr>
      </w:pPr>
      <w:r>
        <w:rPr>
          <w:rFonts w:ascii="Geneva" w:hAnsi="Geneva"/>
          <w:color w:val="000000"/>
          <w:sz w:val="18"/>
        </w:rPr>
        <w:t>Responsibilities of the director of a school or the chair of a department are outlined in Article X</w:t>
      </w:r>
      <w:r w:rsidR="00C9488A">
        <w:rPr>
          <w:rFonts w:ascii="Geneva" w:hAnsi="Geneva"/>
          <w:color w:val="000000"/>
          <w:sz w:val="18"/>
        </w:rPr>
        <w:t>I</w:t>
      </w:r>
      <w:r>
        <w:rPr>
          <w:rFonts w:ascii="Geneva" w:hAnsi="Geneva"/>
          <w:color w:val="000000"/>
          <w:sz w:val="18"/>
        </w:rPr>
        <w:t xml:space="preserve"> and X</w:t>
      </w:r>
      <w:r w:rsidR="00C9488A">
        <w:rPr>
          <w:rFonts w:ascii="Geneva" w:hAnsi="Geneva"/>
          <w:color w:val="000000"/>
          <w:sz w:val="18"/>
        </w:rPr>
        <w:t>I</w:t>
      </w:r>
      <w:r>
        <w:rPr>
          <w:rFonts w:ascii="Geneva" w:hAnsi="Geneva"/>
          <w:color w:val="000000"/>
          <w:sz w:val="18"/>
        </w:rPr>
        <w:t xml:space="preserve">I of the </w:t>
      </w:r>
      <w:r w:rsidR="00C9488A">
        <w:rPr>
          <w:rFonts w:ascii="Geneva" w:hAnsi="Geneva"/>
          <w:color w:val="000000"/>
          <w:sz w:val="18"/>
        </w:rPr>
        <w:t xml:space="preserve">Academic </w:t>
      </w:r>
      <w:r>
        <w:rPr>
          <w:rFonts w:ascii="Geneva" w:hAnsi="Geneva"/>
          <w:i/>
          <w:color w:val="000000"/>
          <w:sz w:val="18"/>
        </w:rPr>
        <w:t>Charter</w:t>
      </w:r>
      <w:r>
        <w:rPr>
          <w:rFonts w:ascii="Geneva" w:hAnsi="Geneva"/>
          <w:color w:val="000000"/>
          <w:sz w:val="18"/>
        </w:rPr>
        <w:t xml:space="preserve">.  What follows is a general outline of </w:t>
      </w:r>
      <w:proofErr w:type="gramStart"/>
      <w:r>
        <w:rPr>
          <w:rFonts w:ascii="Geneva" w:hAnsi="Geneva"/>
          <w:color w:val="000000"/>
          <w:sz w:val="18"/>
        </w:rPr>
        <w:t>duties which should be used on an annual basis to rate the administrative</w:t>
      </w:r>
      <w:proofErr w:type="gramEnd"/>
      <w:r>
        <w:rPr>
          <w:rFonts w:ascii="Geneva" w:hAnsi="Geneva"/>
          <w:color w:val="000000"/>
          <w:sz w:val="18"/>
        </w:rPr>
        <w:t xml:space="preserve"> and faculty performance of your unit head. </w:t>
      </w:r>
    </w:p>
    <w:p w14:paraId="1E84F74F" w14:textId="77777777" w:rsidR="009127E8" w:rsidRDefault="009127E8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6" w:lineRule="exact"/>
        <w:ind w:left="-720" w:right="-720"/>
        <w:rPr>
          <w:rFonts w:ascii="Geneva" w:hAnsi="Geneva"/>
          <w:color w:val="000000"/>
          <w:sz w:val="18"/>
        </w:rPr>
      </w:pPr>
    </w:p>
    <w:tbl>
      <w:tblPr>
        <w:tblW w:w="1452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20"/>
        <w:gridCol w:w="890"/>
        <w:gridCol w:w="630"/>
        <w:gridCol w:w="630"/>
        <w:gridCol w:w="630"/>
        <w:gridCol w:w="4020"/>
      </w:tblGrid>
      <w:tr w:rsidR="009127E8" w14:paraId="0925BAF1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1046F9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b/>
                <w:color w:val="000000"/>
                <w:sz w:val="18"/>
              </w:rPr>
            </w:pPr>
          </w:p>
          <w:p w14:paraId="017F9DEB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b/>
                <w:color w:val="000000"/>
                <w:sz w:val="18"/>
              </w:rPr>
            </w:pPr>
            <w:r>
              <w:rPr>
                <w:rFonts w:ascii="Geneva" w:hAnsi="Geneva"/>
                <w:b/>
                <w:color w:val="000000"/>
                <w:sz w:val="18"/>
              </w:rPr>
              <w:t>ADMINISTRATIVE PERFORMANCE: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DA03BC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jc w:val="center"/>
              <w:rPr>
                <w:rFonts w:ascii="Geneva" w:hAnsi="Geneva"/>
                <w:color w:val="000000"/>
                <w:sz w:val="16"/>
              </w:rPr>
            </w:pPr>
            <w:r>
              <w:rPr>
                <w:rFonts w:ascii="Geneva" w:hAnsi="Geneva"/>
                <w:color w:val="000000"/>
                <w:sz w:val="16"/>
              </w:rPr>
              <w:t>4</w:t>
            </w:r>
          </w:p>
          <w:p w14:paraId="21CE0217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jc w:val="center"/>
              <w:rPr>
                <w:rFonts w:ascii="Geneva" w:hAnsi="Geneva"/>
                <w:color w:val="000000"/>
                <w:sz w:val="16"/>
              </w:rPr>
            </w:pPr>
            <w:r>
              <w:rPr>
                <w:rFonts w:ascii="Geneva" w:hAnsi="Geneva"/>
                <w:color w:val="000000"/>
                <w:sz w:val="16"/>
              </w:rPr>
              <w:t>Excell</w:t>
            </w:r>
            <w:bookmarkStart w:id="0" w:name="_GoBack"/>
            <w:bookmarkEnd w:id="0"/>
            <w:r>
              <w:rPr>
                <w:rFonts w:ascii="Geneva" w:hAnsi="Geneva"/>
                <w:color w:val="000000"/>
                <w:sz w:val="16"/>
              </w:rPr>
              <w:t>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32F392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jc w:val="center"/>
              <w:rPr>
                <w:rFonts w:ascii="Geneva" w:hAnsi="Geneva"/>
                <w:color w:val="000000"/>
                <w:sz w:val="16"/>
              </w:rPr>
            </w:pPr>
            <w:r>
              <w:rPr>
                <w:rFonts w:ascii="Geneva" w:hAnsi="Geneva"/>
                <w:color w:val="000000"/>
                <w:sz w:val="16"/>
              </w:rPr>
              <w:t>3</w:t>
            </w:r>
          </w:p>
          <w:p w14:paraId="78B72DF8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jc w:val="center"/>
              <w:rPr>
                <w:rFonts w:ascii="Geneva" w:hAnsi="Geneva"/>
                <w:color w:val="000000"/>
                <w:sz w:val="16"/>
              </w:rPr>
            </w:pPr>
            <w:r>
              <w:rPr>
                <w:rFonts w:ascii="Geneva" w:hAnsi="Geneva"/>
                <w:color w:val="000000"/>
                <w:sz w:val="16"/>
              </w:rPr>
              <w:t>Good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6B8A57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jc w:val="center"/>
              <w:rPr>
                <w:rFonts w:ascii="Geneva" w:hAnsi="Geneva"/>
                <w:color w:val="000000"/>
                <w:sz w:val="16"/>
              </w:rPr>
            </w:pPr>
            <w:r>
              <w:rPr>
                <w:rFonts w:ascii="Geneva" w:hAnsi="Geneva"/>
                <w:color w:val="000000"/>
                <w:sz w:val="16"/>
              </w:rPr>
              <w:t>2</w:t>
            </w:r>
          </w:p>
          <w:p w14:paraId="06A70034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jc w:val="center"/>
              <w:rPr>
                <w:rFonts w:ascii="Geneva" w:hAnsi="Geneva"/>
                <w:color w:val="000000"/>
                <w:sz w:val="16"/>
              </w:rPr>
            </w:pPr>
            <w:r>
              <w:rPr>
                <w:rFonts w:ascii="Geneva" w:hAnsi="Geneva"/>
                <w:color w:val="000000"/>
                <w:sz w:val="16"/>
              </w:rPr>
              <w:t>Fair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BF8123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jc w:val="center"/>
              <w:rPr>
                <w:rFonts w:ascii="Geneva" w:hAnsi="Geneva"/>
                <w:color w:val="000000"/>
                <w:sz w:val="16"/>
              </w:rPr>
            </w:pPr>
            <w:r>
              <w:rPr>
                <w:rFonts w:ascii="Geneva" w:hAnsi="Geneva"/>
                <w:color w:val="000000"/>
                <w:sz w:val="16"/>
              </w:rPr>
              <w:t>1</w:t>
            </w:r>
          </w:p>
          <w:p w14:paraId="00CA090A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jc w:val="center"/>
              <w:rPr>
                <w:rFonts w:ascii="Geneva" w:hAnsi="Geneva"/>
                <w:color w:val="000000"/>
                <w:sz w:val="16"/>
              </w:rPr>
            </w:pPr>
            <w:r>
              <w:rPr>
                <w:rFonts w:ascii="Geneva" w:hAnsi="Geneva"/>
                <w:color w:val="000000"/>
                <w:sz w:val="16"/>
              </w:rPr>
              <w:t>Weak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C978A2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jc w:val="center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Comments</w:t>
            </w:r>
          </w:p>
        </w:tc>
      </w:tr>
      <w:tr w:rsidR="009127E8" w14:paraId="4AC40E40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817790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Exercises leadership in the articulation, formulation and implementation of departmental/school mission, programs, goals, procedures and policies; conducts business in accordance with governance documents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D471C8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1DCE69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847A4C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547B84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1362D9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4963315E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638AE9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Represents the best interests of the department/school, faculty and its students within the university community and beyond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BD4E86F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E5B15C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D1D165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5AC14C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B63D86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3834F687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69CE5E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Administers and supervises the department/school for effective and professional operations including scheduling, space management, record-keeping, etc.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1EE994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F3AF4D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990354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2165A3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4F9ED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679FC5BF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E27594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 xml:space="preserve">Guides personnel matters including all unit recommendations concerning new appointments and reappointments, salary changes, leaves, recommendations for tenure and promotion, etc.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C5951F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F67E62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5B5150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4B507D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5BB0F0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4549CA14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721310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Demonstrates commitment to recruitment and retention of faculty, particularly those from underrepresented groups.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52557B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A63582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5FB6BB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F22376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4745B4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128F5D16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DA4A3E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Supervises the activities of the administrative and/or classified staff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5EF25B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8471FD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15C417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105D48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D74C1A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7BDC2749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F2CE17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Serves as chief fiscal officer for the unit with the responsibility for preparing, allocating and administering the budget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D90B92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9D90E5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CC6526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515958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DD463C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7198E1E6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DC2443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Provides academic leadership and support for the department's/school's instructional, research and service responsibilities; supports faculty development in all appropriate areas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680B35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82ED89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DF6F39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BA97FF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661DFB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037A1D38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1F2BD8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Demonstrates leadership in curricular design and/or reform of programs of instruction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E1B789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4AFA35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6D8B6A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8A11E9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DDFE85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45E222F8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BFAC35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b/>
                <w:color w:val="000000"/>
                <w:sz w:val="18"/>
              </w:rPr>
            </w:pPr>
            <w:r>
              <w:rPr>
                <w:rFonts w:ascii="Geneva" w:hAnsi="Geneva"/>
                <w:b/>
                <w:color w:val="000000"/>
                <w:sz w:val="18"/>
              </w:rPr>
              <w:t>ADMINISTRATIVE QUALITIES: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3E564E" w14:textId="77777777" w:rsidR="009127E8" w:rsidRDefault="009127E8">
            <w:pPr>
              <w:spacing w:line="240" w:lineRule="atLeast"/>
              <w:rPr>
                <w:rFonts w:ascii="Geneva" w:hAnsi="Geneva"/>
                <w:b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81BB49" w14:textId="77777777" w:rsidR="009127E8" w:rsidRDefault="009127E8">
            <w:pPr>
              <w:rPr>
                <w:rFonts w:ascii="Geneva" w:hAnsi="Geneva"/>
                <w:b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FACE43" w14:textId="77777777" w:rsidR="009127E8" w:rsidRDefault="009127E8">
            <w:pPr>
              <w:rPr>
                <w:rFonts w:ascii="Geneva" w:hAnsi="Geneva"/>
                <w:b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C7CC03" w14:textId="77777777" w:rsidR="009127E8" w:rsidRDefault="009127E8">
            <w:pPr>
              <w:rPr>
                <w:rFonts w:ascii="Geneva" w:hAnsi="Geneva"/>
                <w:b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EA699B" w14:textId="77777777" w:rsidR="009127E8" w:rsidRDefault="009127E8">
            <w:pPr>
              <w:rPr>
                <w:rFonts w:ascii="Geneva" w:hAnsi="Geneva"/>
                <w:b/>
                <w:color w:val="000000"/>
                <w:sz w:val="18"/>
              </w:rPr>
            </w:pPr>
          </w:p>
        </w:tc>
      </w:tr>
      <w:tr w:rsidR="009127E8" w14:paraId="47741E95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645EC3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Demonstrates fairness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940A14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534D54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CA3B7F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5968E1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19663D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386D6E7E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C60DAC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Demonstrates openness/availability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076DA1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0593C6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030E6A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4CB92D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689D75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539C8265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349B35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Communicates effectively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332C60" w14:textId="77777777" w:rsidR="009127E8" w:rsidRDefault="009127E8">
            <w:pPr>
              <w:spacing w:line="240" w:lineRule="atLeast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3A3CD7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3CAF0B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13EF8C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D98A54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4C1F8A9D" w14:textId="77777777" w:rsidTr="009127E8">
        <w:trPr>
          <w:jc w:val="center"/>
        </w:trPr>
        <w:tc>
          <w:tcPr>
            <w:tcW w:w="1452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433A47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b/>
                <w:color w:val="000000"/>
                <w:sz w:val="18"/>
              </w:rPr>
              <w:t>FACULTY PERFORMANCE:</w:t>
            </w:r>
            <w:r>
              <w:rPr>
                <w:rFonts w:ascii="Geneva" w:hAnsi="Geneva"/>
                <w:color w:val="000000"/>
                <w:sz w:val="18"/>
              </w:rPr>
              <w:t xml:space="preserve">  Based on information provided on the Annual Faculty Update Record (or other similar instrument), and mindful of the impact of administrative responsibilities on productivity, please rate your chair's/director's accomplishments as a faculty member.</w:t>
            </w:r>
          </w:p>
        </w:tc>
      </w:tr>
      <w:tr w:rsidR="00E12B5D" w14:paraId="321021FA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157430" w14:textId="77777777" w:rsidR="00E12B5D" w:rsidRDefault="00E12B5D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27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173665" w14:textId="77777777" w:rsidR="00E12B5D" w:rsidRDefault="00E12B5D" w:rsidP="00E12B5D">
            <w:pPr>
              <w:jc w:val="center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Merit Score per unit policy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8E9C55" w14:textId="77777777" w:rsidR="00E12B5D" w:rsidRDefault="00E12B5D" w:rsidP="00E12B5D">
            <w:pPr>
              <w:jc w:val="center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Comments</w:t>
            </w:r>
          </w:p>
        </w:tc>
      </w:tr>
      <w:tr w:rsidR="009127E8" w14:paraId="2CE32AAB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F43708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Teaching</w:t>
            </w:r>
          </w:p>
        </w:tc>
        <w:tc>
          <w:tcPr>
            <w:tcW w:w="27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F0051F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016097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252C32D3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E8A33D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Research/scholarship/creative activities</w:t>
            </w:r>
          </w:p>
        </w:tc>
        <w:tc>
          <w:tcPr>
            <w:tcW w:w="27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CB1437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D37B41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  <w:tr w:rsidR="009127E8" w14:paraId="69B614B9" w14:textId="77777777" w:rsidTr="00C9488A">
        <w:trPr>
          <w:jc w:val="center"/>
        </w:trPr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A683B3" w14:textId="77777777" w:rsidR="009127E8" w:rsidRDefault="009127E8">
            <w:pPr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exact"/>
              <w:ind w:left="40" w:right="40"/>
              <w:rPr>
                <w:rFonts w:ascii="Geneva" w:hAnsi="Geneva"/>
                <w:color w:val="000000"/>
                <w:sz w:val="18"/>
              </w:rPr>
            </w:pPr>
            <w:r>
              <w:rPr>
                <w:rFonts w:ascii="Geneva" w:hAnsi="Geneva"/>
                <w:color w:val="000000"/>
                <w:sz w:val="18"/>
              </w:rPr>
              <w:t>Service</w:t>
            </w:r>
          </w:p>
        </w:tc>
        <w:tc>
          <w:tcPr>
            <w:tcW w:w="2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17229A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26BE" w14:textId="77777777" w:rsidR="009127E8" w:rsidRDefault="009127E8">
            <w:pPr>
              <w:rPr>
                <w:rFonts w:ascii="Geneva" w:hAnsi="Geneva"/>
                <w:color w:val="000000"/>
                <w:sz w:val="18"/>
              </w:rPr>
            </w:pPr>
          </w:p>
        </w:tc>
      </w:tr>
    </w:tbl>
    <w:p w14:paraId="0945E4E9" w14:textId="16A0B4EB" w:rsidR="009127E8" w:rsidRDefault="00C9488A">
      <w:pPr>
        <w:tabs>
          <w:tab w:val="left" w:pos="-216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6" w:lineRule="exact"/>
        <w:ind w:left="-720" w:right="-720"/>
        <w:rPr>
          <w:rFonts w:ascii="Geneva" w:hAnsi="Geneva"/>
          <w:color w:val="000000"/>
          <w:sz w:val="18"/>
        </w:rPr>
      </w:pPr>
      <w:r>
        <w:rPr>
          <w:rFonts w:ascii="Geneva" w:hAnsi="Geneva"/>
          <w:color w:val="000000"/>
          <w:sz w:val="18"/>
        </w:rPr>
        <w:t xml:space="preserve">4/15 </w:t>
      </w:r>
    </w:p>
    <w:p w14:paraId="596B811B" w14:textId="77777777" w:rsidR="009127E8" w:rsidRDefault="009127E8">
      <w:pPr>
        <w:rPr>
          <w:rFonts w:ascii="Geneva" w:hAnsi="Geneva"/>
          <w:color w:val="000000"/>
          <w:sz w:val="18"/>
        </w:rPr>
      </w:pPr>
    </w:p>
    <w:sectPr w:rsidR="009127E8">
      <w:endnotePr>
        <w:numFmt w:val="decimal"/>
      </w:endnotePr>
      <w:pgSz w:w="15840" w:h="12240" w:orient="landscape"/>
      <w:pgMar w:top="72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E8"/>
    <w:rsid w:val="009127E8"/>
    <w:rsid w:val="00A21EC2"/>
    <w:rsid w:val="00C9488A"/>
    <w:rsid w:val="00E12B5D"/>
    <w:rsid w:val="00F4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95C4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Palatino" w:hAnsi="Palatino"/>
      <w:color w:val="000000"/>
      <w:sz w:val="22"/>
    </w:rPr>
  </w:style>
  <w:style w:type="paragraph" w:customStyle="1" w:styleId="Document">
    <w:name w:val="Document"/>
    <w:basedOn w:val="WPDefaults"/>
    <w:p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4320"/>
        <w:tab w:val="clear" w:pos="5040"/>
        <w:tab w:val="clear" w:pos="5760"/>
        <w:tab w:val="clear" w:pos="648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left" w:pos="-1200"/>
        <w:tab w:val="left" w:pos="-600"/>
        <w:tab w:val="left" w:pos="600"/>
        <w:tab w:val="left" w:pos="1200"/>
        <w:tab w:val="left" w:pos="1800"/>
        <w:tab w:val="left" w:pos="2400"/>
        <w:tab w:val="left" w:pos="30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Palatino" w:hAnsi="Palatino"/>
      <w:color w:val="000000"/>
      <w:sz w:val="22"/>
    </w:rPr>
  </w:style>
  <w:style w:type="paragraph" w:customStyle="1" w:styleId="Document">
    <w:name w:val="Document"/>
    <w:basedOn w:val="WPDefaults"/>
    <w:p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4320"/>
        <w:tab w:val="clear" w:pos="5040"/>
        <w:tab w:val="clear" w:pos="5760"/>
        <w:tab w:val="clear" w:pos="648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left" w:pos="-1200"/>
        <w:tab w:val="left" w:pos="-600"/>
        <w:tab w:val="left" w:pos="600"/>
        <w:tab w:val="left" w:pos="1200"/>
        <w:tab w:val="left" w:pos="1800"/>
        <w:tab w:val="left" w:pos="2400"/>
        <w:tab w:val="left" w:pos="30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Macintosh Word</Application>
  <DocSecurity>0</DocSecurity>
  <Lines>15</Lines>
  <Paragraphs>4</Paragraphs>
  <ScaleCrop>false</ScaleCrop>
  <HeadingPairs>
    <vt:vector size="2" baseType="variant">
      <vt:variant>
        <vt:lpstr/>
      </vt:variant>
      <vt:variant>
        <vt:i4>0</vt:i4>
      </vt:variant>
    </vt:vector>
  </HeadingPairs>
  <Company>BGSU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foobar</dc:creator>
  <cp:keywords/>
  <dc:description/>
  <cp:lastModifiedBy>Julie Barnes</cp:lastModifiedBy>
  <cp:revision>2</cp:revision>
  <cp:lastPrinted>2015-03-25T14:54:00Z</cp:lastPrinted>
  <dcterms:created xsi:type="dcterms:W3CDTF">2015-04-07T13:32:00Z</dcterms:created>
  <dcterms:modified xsi:type="dcterms:W3CDTF">2015-04-07T13:32:00Z</dcterms:modified>
</cp:coreProperties>
</file>